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0B5" w:rsidRPr="006030B5" w:rsidRDefault="00E37EAF" w:rsidP="006030B5">
      <w:pPr>
        <w:tabs>
          <w:tab w:val="left" w:pos="4678"/>
        </w:tabs>
        <w:ind w:left="10" w:right="62" w:hanging="10"/>
        <w:jc w:val="center"/>
        <w:rPr>
          <w:rFonts w:ascii="Arial" w:hAnsi="Arial" w:cs="Arial"/>
          <w:b/>
        </w:rPr>
      </w:pPr>
      <w:r>
        <w:rPr>
          <w:rFonts w:ascii="Arial" w:hAnsi="Arial" w:cs="Arial"/>
          <w:b/>
          <w:noProof/>
          <w:lang w:val="es-MX" w:eastAsia="es-MX"/>
        </w:rPr>
        <mc:AlternateContent>
          <mc:Choice Requires="wps">
            <w:drawing>
              <wp:anchor distT="45720" distB="45720" distL="114300" distR="114300" simplePos="0" relativeHeight="251662336" behindDoc="0" locked="0" layoutInCell="1" allowOverlap="1">
                <wp:simplePos x="0" y="0"/>
                <wp:positionH relativeFrom="column">
                  <wp:posOffset>3079881</wp:posOffset>
                </wp:positionH>
                <wp:positionV relativeFrom="paragraph">
                  <wp:posOffset>7113941</wp:posOffset>
                </wp:positionV>
                <wp:extent cx="2395855" cy="231775"/>
                <wp:effectExtent l="0" t="0" r="0" b="0"/>
                <wp:wrapSquare wrapText="bothSides"/>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231775"/>
                        </a:xfrm>
                        <a:prstGeom prst="rect">
                          <a:avLst/>
                        </a:prstGeom>
                        <a:noFill/>
                        <a:ln w="9525">
                          <a:noFill/>
                          <a:miter lim="800000"/>
                          <a:headEnd/>
                          <a:tailEnd/>
                        </a:ln>
                      </wps:spPr>
                      <wps:txbx>
                        <w:txbxContent>
                          <w:p w:rsidR="0054371D" w:rsidRDefault="0054371D" w:rsidP="00E37EAF">
                            <w:pPr>
                              <w:jc w:val="center"/>
                              <w:rPr>
                                <w:rFonts w:ascii="Century Gothic" w:hAnsi="Century Gothic"/>
                                <w:b/>
                                <w:sz w:val="18"/>
                                <w:szCs w:val="18"/>
                              </w:rPr>
                            </w:pPr>
                            <w:r>
                              <w:rPr>
                                <w:rFonts w:ascii="Century Gothic" w:hAnsi="Century Gothic"/>
                                <w:b/>
                                <w:sz w:val="18"/>
                                <w:szCs w:val="18"/>
                              </w:rPr>
                              <w:t xml:space="preserve">Publicación </w:t>
                            </w:r>
                            <w:r w:rsidRPr="00BC7080">
                              <w:rPr>
                                <w:rFonts w:ascii="Century Gothic" w:hAnsi="Century Gothic"/>
                                <w:b/>
                                <w:sz w:val="18"/>
                                <w:szCs w:val="18"/>
                              </w:rPr>
                              <w:t xml:space="preserve">D.O.  </w:t>
                            </w:r>
                            <w:r>
                              <w:rPr>
                                <w:rFonts w:ascii="Century Gothic" w:hAnsi="Century Gothic"/>
                                <w:b/>
                                <w:sz w:val="18"/>
                                <w:szCs w:val="18"/>
                              </w:rPr>
                              <w:t>30</w:t>
                            </w:r>
                            <w:r w:rsidRPr="00BC7080">
                              <w:rPr>
                                <w:rFonts w:ascii="Century Gothic" w:hAnsi="Century Gothic"/>
                                <w:b/>
                                <w:sz w:val="18"/>
                                <w:szCs w:val="18"/>
                              </w:rPr>
                              <w:t>-</w:t>
                            </w:r>
                            <w:r w:rsidR="00257F8F">
                              <w:rPr>
                                <w:rFonts w:ascii="Century Gothic" w:hAnsi="Century Gothic"/>
                                <w:b/>
                                <w:sz w:val="18"/>
                                <w:szCs w:val="18"/>
                              </w:rPr>
                              <w:t>diciembre</w:t>
                            </w:r>
                            <w:r w:rsidRPr="00BC7080">
                              <w:rPr>
                                <w:rFonts w:ascii="Century Gothic" w:hAnsi="Century Gothic"/>
                                <w:b/>
                                <w:sz w:val="18"/>
                                <w:szCs w:val="18"/>
                              </w:rPr>
                              <w:t>-20</w:t>
                            </w:r>
                            <w:r w:rsidR="00257F8F">
                              <w:rPr>
                                <w:rFonts w:ascii="Century Gothic" w:hAnsi="Century Gothic"/>
                                <w:b/>
                                <w:sz w:val="18"/>
                                <w:szCs w:val="18"/>
                              </w:rPr>
                              <w:t>21</w:t>
                            </w:r>
                          </w:p>
                          <w:p w:rsidR="00257F8F" w:rsidRPr="00BC7080" w:rsidRDefault="00257F8F" w:rsidP="00E37EAF">
                            <w:pPr>
                              <w:jc w:val="center"/>
                              <w:rPr>
                                <w:rFonts w:ascii="Century Gothic" w:hAnsi="Century Gothic"/>
                                <w:b/>
                                <w:sz w:val="18"/>
                                <w:szCs w:val="18"/>
                              </w:rPr>
                            </w:pPr>
                            <w:r>
                              <w:rPr>
                                <w:rFonts w:ascii="Century Gothic" w:hAnsi="Century Gothic"/>
                                <w:b/>
                                <w:sz w:val="18"/>
                                <w:szCs w:val="18"/>
                              </w:rPr>
                              <w:t>Última reforma 3</w:t>
                            </w:r>
                            <w:r w:rsidR="00156C42">
                              <w:rPr>
                                <w:rFonts w:ascii="Century Gothic" w:hAnsi="Century Gothic"/>
                                <w:b/>
                                <w:sz w:val="18"/>
                                <w:szCs w:val="18"/>
                              </w:rPr>
                              <w:t>0</w:t>
                            </w:r>
                            <w:r>
                              <w:rPr>
                                <w:rFonts w:ascii="Century Gothic" w:hAnsi="Century Gothic"/>
                                <w:b/>
                                <w:sz w:val="18"/>
                                <w:szCs w:val="18"/>
                              </w:rPr>
                              <w:t>-junio-2022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17" o:spid="_x0000_s1026" type="#_x0000_t202" style="position:absolute;left:0;text-align:left;margin-left:242.5pt;margin-top:560.15pt;width:188.65pt;height:18.2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" filled="f" stroked="f">
                <v:textbox style="mso-fit-shape-to-text:t">
                  <w:txbxContent>
                    <w:p w:rsidR="0054371D" w:rsidRDefault="0054371D" w:rsidP="00E37EAF">
                      <w:pPr>
                        <w:jc w:val="center"/>
                        <w:rPr>
                          <w:rFonts w:ascii="Century Gothic" w:hAnsi="Century Gothic"/>
                          <w:b/>
                          <w:sz w:val="18"/>
                          <w:szCs w:val="18"/>
                        </w:rPr>
                      </w:pPr>
                      <w:r>
                        <w:rPr>
                          <w:rFonts w:ascii="Century Gothic" w:hAnsi="Century Gothic"/>
                          <w:b/>
                          <w:sz w:val="18"/>
                          <w:szCs w:val="18"/>
                        </w:rPr>
                        <w:t xml:space="preserve">Publicación </w:t>
                      </w:r>
                      <w:r w:rsidRPr="00BC7080">
                        <w:rPr>
                          <w:rFonts w:ascii="Century Gothic" w:hAnsi="Century Gothic"/>
                          <w:b/>
                          <w:sz w:val="18"/>
                          <w:szCs w:val="18"/>
                        </w:rPr>
                        <w:t xml:space="preserve">D.O.  </w:t>
                      </w:r>
                      <w:r>
                        <w:rPr>
                          <w:rFonts w:ascii="Century Gothic" w:hAnsi="Century Gothic"/>
                          <w:b/>
                          <w:sz w:val="18"/>
                          <w:szCs w:val="18"/>
                        </w:rPr>
                        <w:t>30</w:t>
                      </w:r>
                      <w:r w:rsidRPr="00BC7080">
                        <w:rPr>
                          <w:rFonts w:ascii="Century Gothic" w:hAnsi="Century Gothic"/>
                          <w:b/>
                          <w:sz w:val="18"/>
                          <w:szCs w:val="18"/>
                        </w:rPr>
                        <w:t>-</w:t>
                      </w:r>
                      <w:r w:rsidR="00257F8F">
                        <w:rPr>
                          <w:rFonts w:ascii="Century Gothic" w:hAnsi="Century Gothic"/>
                          <w:b/>
                          <w:sz w:val="18"/>
                          <w:szCs w:val="18"/>
                        </w:rPr>
                        <w:t>diciembre</w:t>
                      </w:r>
                      <w:r w:rsidRPr="00BC7080">
                        <w:rPr>
                          <w:rFonts w:ascii="Century Gothic" w:hAnsi="Century Gothic"/>
                          <w:b/>
                          <w:sz w:val="18"/>
                          <w:szCs w:val="18"/>
                        </w:rPr>
                        <w:t>-20</w:t>
                      </w:r>
                      <w:r w:rsidR="00257F8F">
                        <w:rPr>
                          <w:rFonts w:ascii="Century Gothic" w:hAnsi="Century Gothic"/>
                          <w:b/>
                          <w:sz w:val="18"/>
                          <w:szCs w:val="18"/>
                        </w:rPr>
                        <w:t>21</w:t>
                      </w:r>
                    </w:p>
                    <w:p w:rsidR="00257F8F" w:rsidRPr="00BC7080" w:rsidRDefault="00257F8F" w:rsidP="00E37EAF">
                      <w:pPr>
                        <w:jc w:val="center"/>
                        <w:rPr>
                          <w:rFonts w:ascii="Century Gothic" w:hAnsi="Century Gothic"/>
                          <w:b/>
                          <w:sz w:val="18"/>
                          <w:szCs w:val="18"/>
                        </w:rPr>
                      </w:pPr>
                      <w:r>
                        <w:rPr>
                          <w:rFonts w:ascii="Century Gothic" w:hAnsi="Century Gothic"/>
                          <w:b/>
                          <w:sz w:val="18"/>
                          <w:szCs w:val="18"/>
                        </w:rPr>
                        <w:t>Última reforma 3</w:t>
                      </w:r>
                      <w:r w:rsidR="00156C42">
                        <w:rPr>
                          <w:rFonts w:ascii="Century Gothic" w:hAnsi="Century Gothic"/>
                          <w:b/>
                          <w:sz w:val="18"/>
                          <w:szCs w:val="18"/>
                        </w:rPr>
                        <w:t>0</w:t>
                      </w:r>
                      <w:r>
                        <w:rPr>
                          <w:rFonts w:ascii="Century Gothic" w:hAnsi="Century Gothic"/>
                          <w:b/>
                          <w:sz w:val="18"/>
                          <w:szCs w:val="18"/>
                        </w:rPr>
                        <w:t>-junio-2022</w:t>
                      </w:r>
                    </w:p>
                  </w:txbxContent>
                </v:textbox>
                <w10:wrap type="square"/>
              </v:shape>
            </w:pict>
          </mc:Fallback>
        </mc:AlternateContent>
      </w:r>
      <w:r>
        <w:rPr>
          <w:rFonts w:ascii="Arial" w:hAnsi="Arial" w:cs="Arial"/>
          <w:b/>
          <w:noProof/>
          <w:lang w:val="es-MX" w:eastAsia="es-MX"/>
        </w:rPr>
        <mc:AlternateContent>
          <mc:Choice Requires="wps">
            <w:drawing>
              <wp:anchor distT="0" distB="0" distL="114300" distR="114300" simplePos="0" relativeHeight="251660288" behindDoc="0" locked="0" layoutInCell="1" allowOverlap="1" wp14:anchorId="423905AA" wp14:editId="209B1191">
                <wp:simplePos x="0" y="0"/>
                <wp:positionH relativeFrom="column">
                  <wp:posOffset>173351</wp:posOffset>
                </wp:positionH>
                <wp:positionV relativeFrom="paragraph">
                  <wp:posOffset>4415619</wp:posOffset>
                </wp:positionV>
                <wp:extent cx="5029200" cy="128524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285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371D" w:rsidRPr="00B92488" w:rsidRDefault="0054371D" w:rsidP="00E37EAF">
                            <w:pPr>
                              <w:jc w:val="center"/>
                              <w:rPr>
                                <w:b/>
                                <w:lang w:val="es-MX"/>
                              </w:rPr>
                            </w:pPr>
                          </w:p>
                          <w:p w:rsidR="0054371D" w:rsidRDefault="0054371D" w:rsidP="00E37EAF">
                            <w:pPr>
                              <w:jc w:val="center"/>
                              <w:rPr>
                                <w:rFonts w:ascii="Century" w:hAnsi="Century"/>
                                <w:b/>
                                <w:sz w:val="30"/>
                                <w:szCs w:val="30"/>
                                <w:lang w:val="es-MX"/>
                              </w:rPr>
                            </w:pPr>
                            <w:r>
                              <w:rPr>
                                <w:rFonts w:ascii="Century" w:hAnsi="Century"/>
                                <w:b/>
                                <w:sz w:val="30"/>
                                <w:szCs w:val="30"/>
                                <w:lang w:val="es-MX"/>
                              </w:rPr>
                              <w:t xml:space="preserve">SECRETARÍA GENERAL DEL </w:t>
                            </w:r>
                          </w:p>
                          <w:p w:rsidR="0054371D" w:rsidRPr="00A63A96" w:rsidRDefault="0054371D" w:rsidP="00E37EAF">
                            <w:pPr>
                              <w:jc w:val="center"/>
                              <w:rPr>
                                <w:rFonts w:ascii="Century" w:hAnsi="Century"/>
                                <w:b/>
                                <w:sz w:val="30"/>
                                <w:szCs w:val="30"/>
                                <w:lang w:val="es-MX"/>
                              </w:rPr>
                            </w:pPr>
                            <w:r>
                              <w:rPr>
                                <w:rFonts w:ascii="Century" w:hAnsi="Century"/>
                                <w:b/>
                                <w:sz w:val="30"/>
                                <w:szCs w:val="30"/>
                                <w:lang w:val="es-MX"/>
                              </w:rPr>
                              <w:t>PODER LEGISLATIVO</w:t>
                            </w:r>
                          </w:p>
                          <w:p w:rsidR="0054371D" w:rsidRDefault="0054371D" w:rsidP="00E37EAF">
                            <w:pPr>
                              <w:jc w:val="center"/>
                              <w:rPr>
                                <w:rFonts w:ascii="Century" w:hAnsi="Century"/>
                                <w:b/>
                                <w:sz w:val="26"/>
                                <w:szCs w:val="26"/>
                                <w:lang w:val="es-MX"/>
                              </w:rPr>
                            </w:pPr>
                          </w:p>
                          <w:p w:rsidR="0054371D" w:rsidRDefault="0054371D" w:rsidP="00E37EAF">
                            <w:pPr>
                              <w:jc w:val="center"/>
                              <w:rPr>
                                <w:rFonts w:ascii="Century" w:hAnsi="Century"/>
                                <w:b/>
                                <w:sz w:val="26"/>
                                <w:szCs w:val="26"/>
                                <w:lang w:val="es-MX"/>
                              </w:rPr>
                            </w:pPr>
                            <w:r w:rsidRPr="00B92488">
                              <w:rPr>
                                <w:rFonts w:ascii="Century" w:hAnsi="Century"/>
                                <w:b/>
                                <w:sz w:val="30"/>
                                <w:szCs w:val="30"/>
                                <w:lang w:val="es-MX"/>
                              </w:rPr>
                              <w:t>UN</w:t>
                            </w:r>
                            <w:r>
                              <w:rPr>
                                <w:rFonts w:ascii="Century" w:hAnsi="Century"/>
                                <w:b/>
                                <w:sz w:val="30"/>
                                <w:szCs w:val="30"/>
                                <w:lang w:val="es-MX"/>
                              </w:rPr>
                              <w:t>IDAD DE SERVICIOS TÉCNICO-LEGIS</w:t>
                            </w:r>
                            <w:r w:rsidRPr="00B92488">
                              <w:rPr>
                                <w:rFonts w:ascii="Century" w:hAnsi="Century"/>
                                <w:b/>
                                <w:sz w:val="30"/>
                                <w:szCs w:val="30"/>
                                <w:lang w:val="es-MX"/>
                              </w:rPr>
                              <w:t>L</w:t>
                            </w:r>
                            <w:r>
                              <w:rPr>
                                <w:rFonts w:ascii="Century" w:hAnsi="Century"/>
                                <w:b/>
                                <w:sz w:val="30"/>
                                <w:szCs w:val="30"/>
                                <w:lang w:val="es-MX"/>
                              </w:rPr>
                              <w:t>A</w:t>
                            </w:r>
                            <w:r w:rsidRPr="00B92488">
                              <w:rPr>
                                <w:rFonts w:ascii="Century" w:hAnsi="Century"/>
                                <w:b/>
                                <w:sz w:val="30"/>
                                <w:szCs w:val="30"/>
                                <w:lang w:val="es-MX"/>
                              </w:rPr>
                              <w:t>TIVOS</w:t>
                            </w:r>
                          </w:p>
                          <w:p w:rsidR="0054371D" w:rsidRDefault="0054371D" w:rsidP="00E37EAF">
                            <w:pPr>
                              <w:jc w:val="center"/>
                              <w:rPr>
                                <w:rFonts w:ascii="Century" w:hAnsi="Century"/>
                                <w:b/>
                                <w:sz w:val="26"/>
                                <w:szCs w:val="2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905AA" id="Cuadro de texto 14" o:spid="_x0000_s1027" type="#_x0000_t202" style="position:absolute;left:0;text-align:left;margin-left:13.65pt;margin-top:347.7pt;width:396pt;height:10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" stroked="f">
                <v:textbox>
                  <w:txbxContent>
                    <w:p w:rsidR="0054371D" w:rsidRPr="00B92488" w:rsidRDefault="0054371D" w:rsidP="00E37EAF">
                      <w:pPr>
                        <w:jc w:val="center"/>
                        <w:rPr>
                          <w:b/>
                          <w:lang w:val="es-MX"/>
                        </w:rPr>
                      </w:pPr>
                    </w:p>
                    <w:p w:rsidR="0054371D" w:rsidRDefault="0054371D" w:rsidP="00E37EAF">
                      <w:pPr>
                        <w:jc w:val="center"/>
                        <w:rPr>
                          <w:rFonts w:ascii="Century" w:hAnsi="Century"/>
                          <w:b/>
                          <w:sz w:val="30"/>
                          <w:szCs w:val="30"/>
                          <w:lang w:val="es-MX"/>
                        </w:rPr>
                      </w:pPr>
                      <w:r>
                        <w:rPr>
                          <w:rFonts w:ascii="Century" w:hAnsi="Century"/>
                          <w:b/>
                          <w:sz w:val="30"/>
                          <w:szCs w:val="30"/>
                          <w:lang w:val="es-MX"/>
                        </w:rPr>
                        <w:t xml:space="preserve">SECRETARÍA GENERAL DEL </w:t>
                      </w:r>
                    </w:p>
                    <w:p w:rsidR="0054371D" w:rsidRPr="00A63A96" w:rsidRDefault="0054371D" w:rsidP="00E37EAF">
                      <w:pPr>
                        <w:jc w:val="center"/>
                        <w:rPr>
                          <w:rFonts w:ascii="Century" w:hAnsi="Century"/>
                          <w:b/>
                          <w:sz w:val="30"/>
                          <w:szCs w:val="30"/>
                          <w:lang w:val="es-MX"/>
                        </w:rPr>
                      </w:pPr>
                      <w:r>
                        <w:rPr>
                          <w:rFonts w:ascii="Century" w:hAnsi="Century"/>
                          <w:b/>
                          <w:sz w:val="30"/>
                          <w:szCs w:val="30"/>
                          <w:lang w:val="es-MX"/>
                        </w:rPr>
                        <w:t>PODER LEGISLATIVO</w:t>
                      </w:r>
                    </w:p>
                    <w:p w:rsidR="0054371D" w:rsidRDefault="0054371D" w:rsidP="00E37EAF">
                      <w:pPr>
                        <w:jc w:val="center"/>
                        <w:rPr>
                          <w:rFonts w:ascii="Century" w:hAnsi="Century"/>
                          <w:b/>
                          <w:sz w:val="26"/>
                          <w:szCs w:val="26"/>
                          <w:lang w:val="es-MX"/>
                        </w:rPr>
                      </w:pPr>
                    </w:p>
                    <w:p w:rsidR="0054371D" w:rsidRDefault="0054371D" w:rsidP="00E37EAF">
                      <w:pPr>
                        <w:jc w:val="center"/>
                        <w:rPr>
                          <w:rFonts w:ascii="Century" w:hAnsi="Century"/>
                          <w:b/>
                          <w:sz w:val="26"/>
                          <w:szCs w:val="26"/>
                          <w:lang w:val="es-MX"/>
                        </w:rPr>
                      </w:pPr>
                      <w:r w:rsidRPr="00B92488">
                        <w:rPr>
                          <w:rFonts w:ascii="Century" w:hAnsi="Century"/>
                          <w:b/>
                          <w:sz w:val="30"/>
                          <w:szCs w:val="30"/>
                          <w:lang w:val="es-MX"/>
                        </w:rPr>
                        <w:t>UN</w:t>
                      </w:r>
                      <w:r>
                        <w:rPr>
                          <w:rFonts w:ascii="Century" w:hAnsi="Century"/>
                          <w:b/>
                          <w:sz w:val="30"/>
                          <w:szCs w:val="30"/>
                          <w:lang w:val="es-MX"/>
                        </w:rPr>
                        <w:t>IDAD DE SERVICIOS TÉCNICO-LEGIS</w:t>
                      </w:r>
                      <w:r w:rsidRPr="00B92488">
                        <w:rPr>
                          <w:rFonts w:ascii="Century" w:hAnsi="Century"/>
                          <w:b/>
                          <w:sz w:val="30"/>
                          <w:szCs w:val="30"/>
                          <w:lang w:val="es-MX"/>
                        </w:rPr>
                        <w:t>L</w:t>
                      </w:r>
                      <w:r>
                        <w:rPr>
                          <w:rFonts w:ascii="Century" w:hAnsi="Century"/>
                          <w:b/>
                          <w:sz w:val="30"/>
                          <w:szCs w:val="30"/>
                          <w:lang w:val="es-MX"/>
                        </w:rPr>
                        <w:t>A</w:t>
                      </w:r>
                      <w:r w:rsidRPr="00B92488">
                        <w:rPr>
                          <w:rFonts w:ascii="Century" w:hAnsi="Century"/>
                          <w:b/>
                          <w:sz w:val="30"/>
                          <w:szCs w:val="30"/>
                          <w:lang w:val="es-MX"/>
                        </w:rPr>
                        <w:t>TIVOS</w:t>
                      </w:r>
                    </w:p>
                    <w:p w:rsidR="0054371D" w:rsidRDefault="0054371D" w:rsidP="00E37EAF">
                      <w:pPr>
                        <w:jc w:val="center"/>
                        <w:rPr>
                          <w:rFonts w:ascii="Century" w:hAnsi="Century"/>
                          <w:b/>
                          <w:sz w:val="26"/>
                          <w:szCs w:val="26"/>
                          <w:lang w:val="es-MX"/>
                        </w:rPr>
                      </w:pPr>
                    </w:p>
                  </w:txbxContent>
                </v:textbox>
              </v:shape>
            </w:pict>
          </mc:Fallback>
        </mc:AlternateContent>
      </w:r>
      <w:r>
        <w:rPr>
          <w:rFonts w:ascii="Arial" w:hAnsi="Arial" w:cs="Arial"/>
          <w:b/>
          <w:noProof/>
          <w:lang w:val="es-MX" w:eastAsia="es-MX"/>
        </w:rPr>
        <mc:AlternateContent>
          <mc:Choice Requires="wps">
            <w:drawing>
              <wp:anchor distT="0" distB="0" distL="114300" distR="114300" simplePos="0" relativeHeight="251661312" behindDoc="0" locked="0" layoutInCell="1" allowOverlap="1" wp14:anchorId="63EC8F02" wp14:editId="05371C0B">
                <wp:simplePos x="0" y="0"/>
                <wp:positionH relativeFrom="margin">
                  <wp:posOffset>-152459</wp:posOffset>
                </wp:positionH>
                <wp:positionV relativeFrom="paragraph">
                  <wp:posOffset>1745424</wp:posOffset>
                </wp:positionV>
                <wp:extent cx="5943600" cy="274320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371D" w:rsidRPr="008346B1" w:rsidRDefault="0054371D" w:rsidP="00E37EAF">
                            <w:pPr>
                              <w:jc w:val="center"/>
                              <w:rPr>
                                <w:rFonts w:ascii="Tahoma" w:hAnsi="Tahoma" w:cs="Tahoma"/>
                                <w:b/>
                                <w:sz w:val="20"/>
                                <w:szCs w:val="20"/>
                              </w:rPr>
                            </w:pPr>
                          </w:p>
                          <w:p w:rsidR="0054371D" w:rsidRPr="00CE247A" w:rsidRDefault="0054371D" w:rsidP="00E37EAF">
                            <w:pPr>
                              <w:spacing w:line="360" w:lineRule="auto"/>
                              <w:jc w:val="center"/>
                              <w:rPr>
                                <w:rFonts w:ascii="Tahoma" w:hAnsi="Tahoma" w:cs="Tahoma"/>
                                <w:b/>
                                <w:bCs/>
                                <w:sz w:val="70"/>
                                <w:szCs w:val="70"/>
                              </w:rPr>
                            </w:pPr>
                            <w:r w:rsidRPr="00CE247A">
                              <w:rPr>
                                <w:rFonts w:ascii="Tahoma" w:hAnsi="Tahoma" w:cs="Tahoma"/>
                                <w:b/>
                                <w:bCs/>
                                <w:sz w:val="60"/>
                                <w:szCs w:val="60"/>
                              </w:rPr>
                              <w:t>LEY DE INGRESOS DEL ESTADO DE YUCATÁN PARA EL EJERCICIO</w:t>
                            </w:r>
                            <w:r w:rsidRPr="00CE247A">
                              <w:rPr>
                                <w:rFonts w:ascii="Tahoma" w:hAnsi="Tahoma" w:cs="Tahoma"/>
                                <w:b/>
                                <w:bCs/>
                                <w:sz w:val="70"/>
                                <w:szCs w:val="70"/>
                              </w:rPr>
                              <w:t xml:space="preserve"> </w:t>
                            </w:r>
                            <w:r w:rsidRPr="00CE247A">
                              <w:rPr>
                                <w:rFonts w:ascii="Tahoma" w:hAnsi="Tahoma" w:cs="Tahoma"/>
                                <w:b/>
                                <w:bCs/>
                                <w:sz w:val="60"/>
                                <w:szCs w:val="60"/>
                              </w:rPr>
                              <w:t xml:space="preserve">FISCAL </w:t>
                            </w:r>
                            <w:r>
                              <w:rPr>
                                <w:rFonts w:ascii="Tahoma" w:hAnsi="Tahoma" w:cs="Tahoma"/>
                                <w:b/>
                                <w:bCs/>
                                <w:sz w:val="60"/>
                                <w:szCs w:val="60"/>
                              </w:rPr>
                              <w:t>2022</w:t>
                            </w:r>
                          </w:p>
                          <w:p w:rsidR="0054371D" w:rsidRPr="00D1489C" w:rsidRDefault="0054371D" w:rsidP="00E37EAF">
                            <w:pPr>
                              <w:spacing w:line="48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C8F02" id="Cuadro de texto 16" o:spid="_x0000_s1028" type="#_x0000_t202" style="position:absolute;left:0;text-align:left;margin-left:-12pt;margin-top:137.45pt;width:468pt;height:3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kGiw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" stroked="f">
                <v:textbox>
                  <w:txbxContent>
                    <w:p w:rsidR="0054371D" w:rsidRPr="008346B1" w:rsidRDefault="0054371D" w:rsidP="00E37EAF">
                      <w:pPr>
                        <w:jc w:val="center"/>
                        <w:rPr>
                          <w:rFonts w:ascii="Tahoma" w:hAnsi="Tahoma" w:cs="Tahoma"/>
                          <w:b/>
                          <w:sz w:val="20"/>
                          <w:szCs w:val="20"/>
                        </w:rPr>
                      </w:pPr>
                    </w:p>
                    <w:p w:rsidR="0054371D" w:rsidRPr="00CE247A" w:rsidRDefault="0054371D" w:rsidP="00E37EAF">
                      <w:pPr>
                        <w:spacing w:line="360" w:lineRule="auto"/>
                        <w:jc w:val="center"/>
                        <w:rPr>
                          <w:rFonts w:ascii="Tahoma" w:hAnsi="Tahoma" w:cs="Tahoma"/>
                          <w:b/>
                          <w:bCs/>
                          <w:sz w:val="70"/>
                          <w:szCs w:val="70"/>
                        </w:rPr>
                      </w:pPr>
                      <w:r w:rsidRPr="00CE247A">
                        <w:rPr>
                          <w:rFonts w:ascii="Tahoma" w:hAnsi="Tahoma" w:cs="Tahoma"/>
                          <w:b/>
                          <w:bCs/>
                          <w:sz w:val="60"/>
                          <w:szCs w:val="60"/>
                        </w:rPr>
                        <w:t>LEY DE INGRESOS DEL ESTADO DE YUCATÁN PARA EL EJERCICIO</w:t>
                      </w:r>
                      <w:r w:rsidRPr="00CE247A">
                        <w:rPr>
                          <w:rFonts w:ascii="Tahoma" w:hAnsi="Tahoma" w:cs="Tahoma"/>
                          <w:b/>
                          <w:bCs/>
                          <w:sz w:val="70"/>
                          <w:szCs w:val="70"/>
                        </w:rPr>
                        <w:t xml:space="preserve"> </w:t>
                      </w:r>
                      <w:r w:rsidRPr="00CE247A">
                        <w:rPr>
                          <w:rFonts w:ascii="Tahoma" w:hAnsi="Tahoma" w:cs="Tahoma"/>
                          <w:b/>
                          <w:bCs/>
                          <w:sz w:val="60"/>
                          <w:szCs w:val="60"/>
                        </w:rPr>
                        <w:t xml:space="preserve">FISCAL </w:t>
                      </w:r>
                      <w:r>
                        <w:rPr>
                          <w:rFonts w:ascii="Tahoma" w:hAnsi="Tahoma" w:cs="Tahoma"/>
                          <w:b/>
                          <w:bCs/>
                          <w:sz w:val="60"/>
                          <w:szCs w:val="60"/>
                        </w:rPr>
                        <w:t>2022</w:t>
                      </w:r>
                    </w:p>
                    <w:p w:rsidR="0054371D" w:rsidRPr="00D1489C" w:rsidRDefault="0054371D" w:rsidP="00E37EAF">
                      <w:pPr>
                        <w:spacing w:line="480" w:lineRule="auto"/>
                        <w:jc w:val="center"/>
                      </w:pPr>
                    </w:p>
                  </w:txbxContent>
                </v:textbox>
                <w10:wrap anchorx="margin"/>
              </v:shape>
            </w:pict>
          </mc:Fallback>
        </mc:AlternateContent>
      </w:r>
      <w:r>
        <w:rPr>
          <w:rFonts w:ascii="Arial" w:hAnsi="Arial" w:cs="Arial"/>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468151</wp:posOffset>
                </wp:positionH>
                <wp:positionV relativeFrom="paragraph">
                  <wp:posOffset>-761439</wp:posOffset>
                </wp:positionV>
                <wp:extent cx="4514850" cy="20574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54371D" w:rsidRDefault="0054371D" w:rsidP="00E37EAF">
                            <w:pPr>
                              <w:jc w:val="center"/>
                              <w:rPr>
                                <w:rFonts w:ascii="CG Omega" w:hAnsi="CG Omega"/>
                                <w:sz w:val="16"/>
                              </w:rPr>
                            </w:pPr>
                            <w:r w:rsidRPr="00F520A9">
                              <w:rPr>
                                <w:rFonts w:ascii="CG Omega" w:hAnsi="CG Omega"/>
                                <w:sz w:val="16"/>
                                <w:highlight w:val="yellow"/>
                              </w:rPr>
                              <w:object w:dxaOrig="2546" w:dyaOrig="2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3pt;height:122.55pt" o:ole="">
                                  <v:imagedata r:id="rId8" o:title=""/>
                                </v:shape>
                                <o:OLEObject Type="Embed" ProgID="Word.Picture.8" ShapeID="_x0000_i1026" DrawAspect="Content" ObjectID="_1718183845" r:id="rId9"/>
                              </w:object>
                            </w:r>
                          </w:p>
                          <w:p w:rsidR="0054371D" w:rsidRDefault="0054371D" w:rsidP="00E37EAF">
                            <w:pPr>
                              <w:rPr>
                                <w:rFonts w:ascii="Tahoma" w:hAnsi="Tahoma" w:cs="Tahoma"/>
                                <w:b/>
                                <w:sz w:val="16"/>
                              </w:rPr>
                            </w:pPr>
                          </w:p>
                          <w:p w:rsidR="0054371D" w:rsidRDefault="0054371D" w:rsidP="00E37EAF">
                            <w:pPr>
                              <w:jc w:val="center"/>
                              <w:rPr>
                                <w:rFonts w:ascii="Century" w:hAnsi="Century"/>
                                <w:b/>
                                <w:sz w:val="26"/>
                                <w:szCs w:val="26"/>
                                <w:lang w:val="es-MX"/>
                              </w:rPr>
                            </w:pPr>
                            <w:r>
                              <w:rPr>
                                <w:rFonts w:ascii="Century" w:hAnsi="Century"/>
                                <w:b/>
                                <w:sz w:val="30"/>
                                <w:szCs w:val="30"/>
                                <w:lang w:val="es-MX"/>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3" o:spid="_x0000_s1029" type="#_x0000_t202" style="position:absolute;left:0;text-align:left;margin-left:36.85pt;margin-top:-59.95pt;width:355.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" filled="f" stroked="f">
                <v:textbox>
                  <w:txbxContent>
                    <w:bookmarkStart w:id="3" w:name="_MON_1161102484"/>
                    <w:bookmarkStart w:id="4" w:name="_MON_1240304745"/>
                    <w:bookmarkEnd w:id="3"/>
                    <w:bookmarkEnd w:id="4"/>
                    <w:bookmarkStart w:id="5" w:name="_MON_1161073130"/>
                    <w:bookmarkEnd w:id="5"/>
                    <w:p w:rsidR="0054371D" w:rsidRDefault="0054371D" w:rsidP="00E37EAF">
                      <w:pPr>
                        <w:jc w:val="center"/>
                        <w:rPr>
                          <w:rFonts w:ascii="CG Omega" w:hAnsi="CG Omega"/>
                          <w:sz w:val="16"/>
                        </w:rPr>
                      </w:pPr>
                      <w:r w:rsidRPr="00F520A9">
                        <w:rPr>
                          <w:rFonts w:ascii="CG Omega" w:hAnsi="CG Omega"/>
                          <w:sz w:val="16"/>
                          <w:highlight w:val="yellow"/>
                        </w:rPr>
                        <w:object w:dxaOrig="2546" w:dyaOrig="2451">
                          <v:shape id="_x0000_i1026" type="#_x0000_t75" style="width:127.3pt;height:122.55pt" o:ole="">
                            <v:imagedata r:id="rId8" o:title=""/>
                          </v:shape>
                          <o:OLEObject Type="Embed" ProgID="Word.Picture.8" ShapeID="_x0000_i1026" DrawAspect="Content" ObjectID="_1718183845" r:id="rId10"/>
                        </w:object>
                      </w:r>
                    </w:p>
                    <w:p w:rsidR="0054371D" w:rsidRDefault="0054371D" w:rsidP="00E37EAF">
                      <w:pPr>
                        <w:rPr>
                          <w:rFonts w:ascii="Tahoma" w:hAnsi="Tahoma" w:cs="Tahoma"/>
                          <w:b/>
                          <w:sz w:val="16"/>
                        </w:rPr>
                      </w:pPr>
                    </w:p>
                    <w:p w:rsidR="0054371D" w:rsidRDefault="0054371D" w:rsidP="00E37EAF">
                      <w:pPr>
                        <w:jc w:val="center"/>
                        <w:rPr>
                          <w:rFonts w:ascii="Century" w:hAnsi="Century"/>
                          <w:b/>
                          <w:sz w:val="26"/>
                          <w:szCs w:val="26"/>
                          <w:lang w:val="es-MX"/>
                        </w:rPr>
                      </w:pPr>
                      <w:r>
                        <w:rPr>
                          <w:rFonts w:ascii="Century" w:hAnsi="Century"/>
                          <w:b/>
                          <w:sz w:val="30"/>
                          <w:szCs w:val="30"/>
                          <w:lang w:val="es-MX"/>
                        </w:rPr>
                        <w:t>H. CONGRESO DEL ESTADO DE YUCATÁN</w:t>
                      </w:r>
                    </w:p>
                  </w:txbxContent>
                </v:textbox>
              </v:shape>
            </w:pict>
          </mc:Fallback>
        </mc:AlternateContent>
      </w:r>
      <w:r>
        <w:rPr>
          <w:rFonts w:ascii="Arial" w:hAnsi="Arial" w:cs="Arial"/>
          <w:b/>
          <w:noProof/>
          <w:lang w:val="es-MX" w:eastAsia="es-MX"/>
        </w:rPr>
        <mc:AlternateContent>
          <mc:Choice Requires="wpg">
            <w:drawing>
              <wp:anchor distT="0" distB="0" distL="114300" distR="114300" simplePos="0" relativeHeight="251658240" behindDoc="0" locked="0" layoutInCell="1" allowOverlap="1">
                <wp:simplePos x="0" y="0"/>
                <wp:positionH relativeFrom="page">
                  <wp:posOffset>629285</wp:posOffset>
                </wp:positionH>
                <wp:positionV relativeFrom="paragraph">
                  <wp:posOffset>-1132481</wp:posOffset>
                </wp:positionV>
                <wp:extent cx="6515100" cy="9372600"/>
                <wp:effectExtent l="0" t="0" r="0" b="0"/>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9"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E2FB458" id="Grupo 8" o:spid="_x0000_s1026" style="position:absolute;margin-left:49.55pt;margin-top:-89.15pt;width:513pt;height:738pt;z-index:251658240;mso-position-horizontal-relative:page"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" fillcolor="silver" stroked="f" strokecolor="silver"/>
                <w10:wrap anchorx="page"/>
              </v:group>
            </w:pict>
          </mc:Fallback>
        </mc:AlternateContent>
      </w:r>
      <w:r w:rsidR="006030B5">
        <w:rPr>
          <w:rFonts w:ascii="Arial" w:hAnsi="Arial" w:cs="Arial"/>
          <w:b/>
        </w:rPr>
        <w:br w:type="column"/>
      </w:r>
      <w:r w:rsidR="006030B5" w:rsidRPr="006030B5">
        <w:rPr>
          <w:rFonts w:ascii="Arial" w:hAnsi="Arial" w:cs="Arial"/>
          <w:b/>
        </w:rPr>
        <w:lastRenderedPageBreak/>
        <w:t>Decreto 440/2021</w:t>
      </w:r>
    </w:p>
    <w:p w:rsidR="006030B5" w:rsidRPr="006030B5" w:rsidRDefault="006030B5" w:rsidP="006030B5">
      <w:pPr>
        <w:tabs>
          <w:tab w:val="left" w:pos="4678"/>
        </w:tabs>
        <w:ind w:left="10" w:right="62" w:hanging="10"/>
        <w:jc w:val="center"/>
        <w:rPr>
          <w:rFonts w:ascii="Arial" w:hAnsi="Arial" w:cs="Arial"/>
          <w:b/>
        </w:rPr>
      </w:pPr>
      <w:r w:rsidRPr="006030B5">
        <w:rPr>
          <w:rFonts w:ascii="Arial" w:hAnsi="Arial" w:cs="Arial"/>
          <w:b/>
        </w:rPr>
        <w:t>Publicado en el Diario Oficial del Gobierno del</w:t>
      </w:r>
    </w:p>
    <w:p w:rsidR="006030B5" w:rsidRPr="006030B5" w:rsidRDefault="006030B5" w:rsidP="006030B5">
      <w:pPr>
        <w:tabs>
          <w:tab w:val="left" w:pos="4678"/>
        </w:tabs>
        <w:ind w:left="10" w:right="62" w:hanging="10"/>
        <w:jc w:val="center"/>
        <w:rPr>
          <w:rFonts w:ascii="Arial" w:hAnsi="Arial" w:cs="Arial"/>
          <w:b/>
        </w:rPr>
      </w:pPr>
      <w:r w:rsidRPr="006030B5">
        <w:rPr>
          <w:rFonts w:ascii="Arial" w:hAnsi="Arial" w:cs="Arial"/>
          <w:b/>
        </w:rPr>
        <w:t>Estado el 30 de diciembre 2021</w:t>
      </w:r>
    </w:p>
    <w:p w:rsidR="006030B5" w:rsidRPr="006030B5" w:rsidRDefault="006030B5" w:rsidP="00D479C3">
      <w:pPr>
        <w:tabs>
          <w:tab w:val="left" w:pos="4678"/>
        </w:tabs>
        <w:ind w:left="10" w:right="62" w:hanging="10"/>
        <w:jc w:val="both"/>
        <w:rPr>
          <w:rFonts w:ascii="Arial" w:eastAsia="Arial" w:hAnsi="Arial" w:cs="Arial"/>
          <w:b/>
          <w:lang w:val="es-MX" w:eastAsia="es-MX"/>
        </w:rPr>
      </w:pPr>
    </w:p>
    <w:p w:rsidR="006030B5" w:rsidRPr="006030B5" w:rsidRDefault="00257F8F" w:rsidP="00257F8F">
      <w:pPr>
        <w:tabs>
          <w:tab w:val="left" w:pos="6435"/>
        </w:tabs>
        <w:ind w:left="10" w:right="62" w:hanging="10"/>
        <w:jc w:val="both"/>
        <w:rPr>
          <w:rFonts w:ascii="Arial" w:eastAsia="Arial" w:hAnsi="Arial" w:cs="Arial"/>
          <w:b/>
          <w:lang w:val="es-MX" w:eastAsia="es-MX"/>
        </w:rPr>
      </w:pPr>
      <w:r>
        <w:rPr>
          <w:rFonts w:ascii="Arial" w:eastAsia="Arial" w:hAnsi="Arial" w:cs="Arial"/>
          <w:b/>
          <w:lang w:val="es-MX" w:eastAsia="es-MX"/>
        </w:rPr>
        <w:tab/>
      </w:r>
      <w:r>
        <w:rPr>
          <w:rFonts w:ascii="Arial" w:eastAsia="Arial" w:hAnsi="Arial" w:cs="Arial"/>
          <w:b/>
          <w:lang w:val="es-MX" w:eastAsia="es-MX"/>
        </w:rPr>
        <w:tab/>
      </w:r>
    </w:p>
    <w:p w:rsidR="006030B5" w:rsidRPr="006030B5" w:rsidRDefault="006030B5" w:rsidP="006030B5">
      <w:pPr>
        <w:tabs>
          <w:tab w:val="left" w:pos="4678"/>
        </w:tabs>
        <w:ind w:left="10" w:right="62" w:hanging="10"/>
        <w:jc w:val="both"/>
        <w:rPr>
          <w:rFonts w:ascii="Arial" w:eastAsia="Arial" w:hAnsi="Arial" w:cs="Arial"/>
          <w:b/>
          <w:lang w:val="es-MX" w:eastAsia="es-MX"/>
        </w:rPr>
      </w:pPr>
      <w:r w:rsidRPr="006030B5">
        <w:rPr>
          <w:rFonts w:ascii="Arial" w:hAnsi="Arial" w:cs="Arial"/>
          <w:b/>
        </w:rPr>
        <w:t xml:space="preserve">Mauricio Vila </w:t>
      </w:r>
      <w:proofErr w:type="spellStart"/>
      <w:r w:rsidRPr="006030B5">
        <w:rPr>
          <w:rFonts w:ascii="Arial" w:hAnsi="Arial" w:cs="Arial"/>
          <w:b/>
        </w:rPr>
        <w:t>Dosal</w:t>
      </w:r>
      <w:proofErr w:type="spellEnd"/>
      <w:r w:rsidRPr="006030B5">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6030B5" w:rsidRDefault="006030B5" w:rsidP="006030B5">
      <w:pPr>
        <w:tabs>
          <w:tab w:val="left" w:pos="4678"/>
        </w:tabs>
        <w:ind w:left="10" w:right="62" w:hanging="10"/>
        <w:jc w:val="both"/>
        <w:rPr>
          <w:rFonts w:ascii="Arial" w:eastAsia="Arial" w:hAnsi="Arial" w:cs="Arial"/>
          <w:b/>
          <w:lang w:val="es-MX" w:eastAsia="es-MX"/>
        </w:rPr>
      </w:pPr>
    </w:p>
    <w:p w:rsidR="006030B5" w:rsidRDefault="006030B5" w:rsidP="00D479C3">
      <w:pPr>
        <w:tabs>
          <w:tab w:val="left" w:pos="4678"/>
        </w:tabs>
        <w:ind w:left="10" w:right="62" w:hanging="10"/>
        <w:jc w:val="both"/>
        <w:rPr>
          <w:rFonts w:ascii="Arial" w:eastAsia="Arial" w:hAnsi="Arial" w:cs="Arial"/>
          <w:b/>
          <w:lang w:val="es-MX" w:eastAsia="es-MX"/>
        </w:rPr>
      </w:pPr>
    </w:p>
    <w:p w:rsidR="00D479C3" w:rsidRPr="00D479C3" w:rsidRDefault="00D479C3" w:rsidP="00D479C3">
      <w:pPr>
        <w:tabs>
          <w:tab w:val="left" w:pos="4678"/>
        </w:tabs>
        <w:ind w:left="10" w:right="62" w:hanging="10"/>
        <w:jc w:val="both"/>
        <w:rPr>
          <w:rFonts w:ascii="Arial" w:eastAsia="Arial" w:hAnsi="Arial" w:cs="Arial"/>
          <w:b/>
          <w:lang w:val="es-MX" w:eastAsia="es-MX"/>
        </w:rPr>
      </w:pPr>
      <w:r w:rsidRPr="00D479C3">
        <w:rPr>
          <w:rFonts w:ascii="Arial" w:eastAsia="Arial" w:hAnsi="Arial" w:cs="Arial"/>
          <w:b/>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FB2823" w:rsidRDefault="00FB2823" w:rsidP="000A069E">
      <w:pPr>
        <w:spacing w:line="360" w:lineRule="auto"/>
        <w:ind w:firstLine="708"/>
        <w:jc w:val="center"/>
        <w:rPr>
          <w:rFonts w:ascii="Arial" w:hAnsi="Arial" w:cs="Arial"/>
          <w:b/>
          <w:lang w:val="es-MX"/>
        </w:rPr>
      </w:pPr>
    </w:p>
    <w:p w:rsidR="00337909" w:rsidRPr="005E6466" w:rsidRDefault="00F634F0" w:rsidP="000A069E">
      <w:pPr>
        <w:spacing w:line="360" w:lineRule="auto"/>
        <w:ind w:firstLine="708"/>
        <w:jc w:val="center"/>
        <w:rPr>
          <w:rFonts w:ascii="Arial" w:hAnsi="Arial" w:cs="Arial"/>
          <w:b/>
          <w:lang w:val="es-MX"/>
        </w:rPr>
      </w:pPr>
      <w:r w:rsidRPr="005E6466">
        <w:rPr>
          <w:rFonts w:ascii="Arial" w:hAnsi="Arial" w:cs="Arial"/>
          <w:b/>
          <w:lang w:val="es-MX"/>
        </w:rPr>
        <w:t xml:space="preserve">E X P O S I C I </w:t>
      </w:r>
      <w:proofErr w:type="spellStart"/>
      <w:r w:rsidRPr="005E6466">
        <w:rPr>
          <w:rFonts w:ascii="Arial" w:hAnsi="Arial" w:cs="Arial"/>
          <w:b/>
          <w:lang w:val="es-MX"/>
        </w:rPr>
        <w:t>Ó</w:t>
      </w:r>
      <w:proofErr w:type="spellEnd"/>
      <w:r w:rsidRPr="005E6466">
        <w:rPr>
          <w:rFonts w:ascii="Arial" w:hAnsi="Arial" w:cs="Arial"/>
          <w:b/>
          <w:lang w:val="es-MX"/>
        </w:rPr>
        <w:t xml:space="preserve"> </w:t>
      </w:r>
      <w:proofErr w:type="gramStart"/>
      <w:r w:rsidRPr="005E6466">
        <w:rPr>
          <w:rFonts w:ascii="Arial" w:hAnsi="Arial" w:cs="Arial"/>
          <w:b/>
          <w:lang w:val="es-MX"/>
        </w:rPr>
        <w:t>N</w:t>
      </w:r>
      <w:r w:rsidR="00AE6BAB">
        <w:rPr>
          <w:rFonts w:ascii="Arial" w:hAnsi="Arial" w:cs="Arial"/>
          <w:b/>
          <w:lang w:val="es-MX"/>
        </w:rPr>
        <w:t xml:space="preserve"> </w:t>
      </w:r>
      <w:r w:rsidR="00A97F78">
        <w:rPr>
          <w:rFonts w:ascii="Arial" w:hAnsi="Arial" w:cs="Arial"/>
          <w:b/>
          <w:lang w:val="es-MX"/>
        </w:rPr>
        <w:t xml:space="preserve"> </w:t>
      </w:r>
      <w:r w:rsidRPr="005E6466">
        <w:rPr>
          <w:rFonts w:ascii="Arial" w:hAnsi="Arial" w:cs="Arial"/>
          <w:b/>
          <w:lang w:val="es-MX"/>
        </w:rPr>
        <w:t>D</w:t>
      </w:r>
      <w:proofErr w:type="gramEnd"/>
      <w:r w:rsidRPr="005E6466">
        <w:rPr>
          <w:rFonts w:ascii="Arial" w:hAnsi="Arial" w:cs="Arial"/>
          <w:b/>
          <w:lang w:val="es-MX"/>
        </w:rPr>
        <w:t xml:space="preserve"> E </w:t>
      </w:r>
      <w:r w:rsidR="00A97F78">
        <w:rPr>
          <w:rFonts w:ascii="Arial" w:hAnsi="Arial" w:cs="Arial"/>
          <w:b/>
          <w:lang w:val="es-MX"/>
        </w:rPr>
        <w:t xml:space="preserve"> </w:t>
      </w:r>
      <w:r w:rsidRPr="005E6466">
        <w:rPr>
          <w:rFonts w:ascii="Arial" w:hAnsi="Arial" w:cs="Arial"/>
          <w:b/>
          <w:lang w:val="es-MX"/>
        </w:rPr>
        <w:t>M O T I V O S</w:t>
      </w:r>
    </w:p>
    <w:p w:rsidR="00337909" w:rsidRPr="005E6466" w:rsidRDefault="00337909" w:rsidP="000A069E">
      <w:pPr>
        <w:spacing w:line="360" w:lineRule="auto"/>
        <w:ind w:firstLine="708"/>
        <w:jc w:val="center"/>
        <w:rPr>
          <w:rFonts w:ascii="Arial" w:hAnsi="Arial" w:cs="Arial"/>
          <w:b/>
          <w:lang w:val="es-MX"/>
        </w:rPr>
      </w:pPr>
    </w:p>
    <w:p w:rsidR="00EC5414" w:rsidRPr="005E6466" w:rsidRDefault="002A1661" w:rsidP="00943B44">
      <w:pPr>
        <w:autoSpaceDN w:val="0"/>
        <w:adjustRightInd w:val="0"/>
        <w:spacing w:line="360" w:lineRule="auto"/>
        <w:ind w:firstLine="709"/>
        <w:jc w:val="both"/>
        <w:rPr>
          <w:rFonts w:ascii="Arial" w:hAnsi="Arial" w:cs="Arial"/>
          <w:lang w:val="es-MX"/>
        </w:rPr>
      </w:pPr>
      <w:r w:rsidRPr="005E6466">
        <w:rPr>
          <w:rFonts w:ascii="Arial" w:hAnsi="Arial" w:cs="Arial"/>
          <w:b/>
          <w:lang w:val="es-MX"/>
        </w:rPr>
        <w:t>PRIMERA.</w:t>
      </w:r>
      <w:r w:rsidR="00337909" w:rsidRPr="005E6466">
        <w:rPr>
          <w:rFonts w:ascii="Arial" w:hAnsi="Arial" w:cs="Arial"/>
          <w:b/>
          <w:lang w:val="es-MX"/>
        </w:rPr>
        <w:t xml:space="preserve"> </w:t>
      </w:r>
      <w:r w:rsidR="00943B44" w:rsidRPr="005E6466">
        <w:rPr>
          <w:rFonts w:ascii="Arial" w:hAnsi="Arial" w:cs="Arial"/>
        </w:rPr>
        <w:t xml:space="preserve">La iniciativa en estudio, fue presentada en ejercicio de la facultad que le concede al Poder Ejecutivo del Estado el artículo </w:t>
      </w:r>
      <w:r w:rsidR="00943B44" w:rsidRPr="005E6466">
        <w:rPr>
          <w:rFonts w:ascii="Arial" w:hAnsi="Arial" w:cs="Arial"/>
          <w:lang w:val="es-MX"/>
        </w:rPr>
        <w:t xml:space="preserve">35 fracción II de la Constitución Política del Estado de Yucatán, </w:t>
      </w:r>
      <w:r w:rsidR="0066081B" w:rsidRPr="005E6466">
        <w:rPr>
          <w:rFonts w:ascii="Arial" w:hAnsi="Arial" w:cs="Arial"/>
          <w:lang w:val="es-MX"/>
        </w:rPr>
        <w:t>con</w:t>
      </w:r>
      <w:r w:rsidR="00943B44" w:rsidRPr="005E6466">
        <w:rPr>
          <w:rFonts w:ascii="Arial" w:hAnsi="Arial" w:cs="Arial"/>
          <w:lang w:val="es-MX"/>
        </w:rPr>
        <w:t xml:space="preserve"> relación con lo dispuesto por el artículo 30 fracción VI </w:t>
      </w:r>
      <w:r w:rsidR="00F141E3" w:rsidRPr="005E6466">
        <w:rPr>
          <w:rFonts w:ascii="Arial" w:hAnsi="Arial" w:cs="Arial"/>
          <w:lang w:val="es-MX"/>
        </w:rPr>
        <w:t>primer</w:t>
      </w:r>
      <w:r w:rsidR="00943B44" w:rsidRPr="005E6466">
        <w:rPr>
          <w:rFonts w:ascii="Arial" w:hAnsi="Arial" w:cs="Arial"/>
          <w:lang w:val="es-MX"/>
        </w:rPr>
        <w:t xml:space="preserve"> párrafo, y en cumplimiento de lo establecido por el artículo 55 fracción XIV </w:t>
      </w:r>
      <w:r w:rsidR="003947E3" w:rsidRPr="005E6466">
        <w:rPr>
          <w:rFonts w:ascii="Arial" w:hAnsi="Arial" w:cs="Arial"/>
          <w:lang w:val="es-MX"/>
        </w:rPr>
        <w:t xml:space="preserve">primer </w:t>
      </w:r>
      <w:r w:rsidR="00943B44" w:rsidRPr="005E6466">
        <w:rPr>
          <w:rFonts w:ascii="Arial" w:hAnsi="Arial" w:cs="Arial"/>
          <w:lang w:val="es-MX"/>
        </w:rPr>
        <w:t>párrafo del mismo ordenamiento legal.</w:t>
      </w:r>
    </w:p>
    <w:p w:rsidR="00943B44" w:rsidRPr="005E6466" w:rsidRDefault="00943B44" w:rsidP="00943B44">
      <w:pPr>
        <w:autoSpaceDN w:val="0"/>
        <w:adjustRightInd w:val="0"/>
        <w:spacing w:line="360" w:lineRule="auto"/>
        <w:ind w:firstLine="709"/>
        <w:jc w:val="both"/>
        <w:rPr>
          <w:rFonts w:ascii="Arial" w:hAnsi="Arial" w:cs="Arial"/>
          <w:b/>
          <w:lang w:val="es-MX"/>
        </w:rPr>
      </w:pPr>
      <w:r w:rsidRPr="005E6466">
        <w:rPr>
          <w:rFonts w:ascii="Arial" w:hAnsi="Arial" w:cs="Arial"/>
          <w:lang w:val="es-MX"/>
        </w:rPr>
        <w:t xml:space="preserve"> </w:t>
      </w:r>
    </w:p>
    <w:p w:rsidR="00337909" w:rsidRPr="005E6466" w:rsidRDefault="00EC5414" w:rsidP="000A069E">
      <w:pPr>
        <w:autoSpaceDN w:val="0"/>
        <w:adjustRightInd w:val="0"/>
        <w:spacing w:line="360" w:lineRule="auto"/>
        <w:ind w:firstLine="709"/>
        <w:jc w:val="both"/>
        <w:rPr>
          <w:rFonts w:ascii="Arial" w:hAnsi="Arial" w:cs="Arial"/>
          <w:lang w:val="es-MX"/>
        </w:rPr>
      </w:pPr>
      <w:r w:rsidRPr="005E6466">
        <w:rPr>
          <w:rFonts w:ascii="Arial" w:hAnsi="Arial" w:cs="Arial"/>
          <w:lang w:val="es-MX"/>
        </w:rPr>
        <w:t xml:space="preserve">Asimismo, </w:t>
      </w:r>
      <w:r w:rsidR="00822978" w:rsidRPr="005E6466">
        <w:rPr>
          <w:rFonts w:ascii="Arial" w:hAnsi="Arial" w:cs="Arial"/>
          <w:lang w:val="es-MX"/>
        </w:rPr>
        <w:t>el contenido de la iniciativa</w:t>
      </w:r>
      <w:r w:rsidR="00337909" w:rsidRPr="005E6466">
        <w:rPr>
          <w:rFonts w:ascii="Arial" w:hAnsi="Arial" w:cs="Arial"/>
          <w:lang w:val="es-MX"/>
        </w:rPr>
        <w:t xml:space="preserve"> en </w:t>
      </w:r>
      <w:r w:rsidR="00DB7DD8" w:rsidRPr="005E6466">
        <w:rPr>
          <w:rFonts w:ascii="Arial" w:hAnsi="Arial" w:cs="Arial"/>
          <w:lang w:val="es-MX"/>
        </w:rPr>
        <w:t>turno</w:t>
      </w:r>
      <w:r w:rsidR="00337909" w:rsidRPr="005E6466">
        <w:rPr>
          <w:rFonts w:ascii="Arial" w:hAnsi="Arial" w:cs="Arial"/>
          <w:lang w:val="es-MX"/>
        </w:rPr>
        <w:t xml:space="preserve">, se estima que este cuerpo colegiado </w:t>
      </w:r>
      <w:r w:rsidR="00F32270" w:rsidRPr="005E6466">
        <w:rPr>
          <w:rFonts w:ascii="Arial" w:hAnsi="Arial" w:cs="Arial"/>
          <w:lang w:val="es-MX"/>
        </w:rPr>
        <w:t>es competente para dictaminarla</w:t>
      </w:r>
      <w:r w:rsidR="00337909" w:rsidRPr="005E6466">
        <w:rPr>
          <w:rFonts w:ascii="Arial" w:hAnsi="Arial" w:cs="Arial"/>
          <w:lang w:val="es-MX"/>
        </w:rPr>
        <w:t>, según lo establecido el artículo 43</w:t>
      </w:r>
      <w:r w:rsidR="00746304" w:rsidRPr="005E6466">
        <w:rPr>
          <w:rFonts w:ascii="Arial" w:hAnsi="Arial" w:cs="Arial"/>
          <w:lang w:val="es-MX"/>
        </w:rPr>
        <w:t>,</w:t>
      </w:r>
      <w:r w:rsidR="00337909" w:rsidRPr="005E6466">
        <w:rPr>
          <w:rFonts w:ascii="Arial" w:hAnsi="Arial" w:cs="Arial"/>
          <w:lang w:val="es-MX"/>
        </w:rPr>
        <w:t xml:space="preserve"> fracción IV</w:t>
      </w:r>
      <w:r w:rsidR="00746304" w:rsidRPr="005E6466">
        <w:rPr>
          <w:rFonts w:ascii="Arial" w:hAnsi="Arial" w:cs="Arial"/>
          <w:lang w:val="es-MX"/>
        </w:rPr>
        <w:t>,</w:t>
      </w:r>
      <w:r w:rsidR="00337909" w:rsidRPr="005E6466">
        <w:rPr>
          <w:rFonts w:ascii="Arial" w:hAnsi="Arial" w:cs="Arial"/>
          <w:lang w:val="es-MX"/>
        </w:rPr>
        <w:t xml:space="preserve"> inciso a)</w:t>
      </w:r>
      <w:r w:rsidR="00746304" w:rsidRPr="005E6466">
        <w:rPr>
          <w:rFonts w:ascii="Arial" w:hAnsi="Arial" w:cs="Arial"/>
          <w:lang w:val="es-MX"/>
        </w:rPr>
        <w:t>,</w:t>
      </w:r>
      <w:r w:rsidR="00337909" w:rsidRPr="005E6466">
        <w:rPr>
          <w:rFonts w:ascii="Arial" w:hAnsi="Arial" w:cs="Arial"/>
          <w:lang w:val="es-MX"/>
        </w:rPr>
        <w:t xml:space="preserve"> de la Ley de Gobierno del Poder Legislativo del Estado de Yucatán, toda vez que las adecuaciones legales propuestas versan sobre asuntos relacionados </w:t>
      </w:r>
      <w:r w:rsidR="00060C22" w:rsidRPr="005E6466">
        <w:rPr>
          <w:rFonts w:ascii="Arial" w:hAnsi="Arial" w:cs="Arial"/>
          <w:lang w:val="es-MX"/>
        </w:rPr>
        <w:t xml:space="preserve">en </w:t>
      </w:r>
      <w:r w:rsidR="00337909" w:rsidRPr="005E6466">
        <w:rPr>
          <w:rFonts w:ascii="Arial" w:hAnsi="Arial" w:cs="Arial"/>
          <w:lang w:val="es-MX"/>
        </w:rPr>
        <w:t xml:space="preserve">materia fiscal y hacendaria. </w:t>
      </w:r>
    </w:p>
    <w:p w:rsidR="00337909" w:rsidRPr="005E6466" w:rsidRDefault="00337909" w:rsidP="000A069E">
      <w:pPr>
        <w:autoSpaceDN w:val="0"/>
        <w:adjustRightInd w:val="0"/>
        <w:spacing w:line="360" w:lineRule="auto"/>
        <w:ind w:firstLine="709"/>
        <w:jc w:val="both"/>
        <w:rPr>
          <w:rFonts w:ascii="Arial" w:hAnsi="Arial" w:cs="Arial"/>
          <w:lang w:val="es-MX"/>
        </w:rPr>
      </w:pPr>
    </w:p>
    <w:p w:rsidR="001D46D3" w:rsidRPr="005E6466" w:rsidRDefault="00891E48" w:rsidP="00891E48">
      <w:pPr>
        <w:autoSpaceDN w:val="0"/>
        <w:adjustRightInd w:val="0"/>
        <w:spacing w:line="360" w:lineRule="auto"/>
        <w:ind w:firstLine="709"/>
        <w:jc w:val="both"/>
        <w:rPr>
          <w:rFonts w:ascii="Arial" w:hAnsi="Arial" w:cs="Arial"/>
          <w:lang w:val="es-MX"/>
        </w:rPr>
      </w:pPr>
      <w:r>
        <w:rPr>
          <w:rFonts w:ascii="Arial" w:hAnsi="Arial" w:cs="Arial"/>
          <w:lang w:val="es-MX"/>
        </w:rPr>
        <w:lastRenderedPageBreak/>
        <w:t>En tal contexto, la C</w:t>
      </w:r>
      <w:r w:rsidR="00337909" w:rsidRPr="005E6466">
        <w:rPr>
          <w:rFonts w:ascii="Arial" w:hAnsi="Arial" w:cs="Arial"/>
          <w:lang w:val="es-MX"/>
        </w:rPr>
        <w:t xml:space="preserve">omisión dictaminadora se encuentra facultada constitucionalmente </w:t>
      </w:r>
      <w:r w:rsidR="00DB5A80" w:rsidRPr="005E6466">
        <w:rPr>
          <w:rFonts w:ascii="Arial" w:hAnsi="Arial" w:cs="Arial"/>
          <w:lang w:val="es-MX"/>
        </w:rPr>
        <w:t>para entrar al estudio</w:t>
      </w:r>
      <w:r w:rsidR="00746304" w:rsidRPr="005E6466">
        <w:rPr>
          <w:rFonts w:ascii="Arial" w:hAnsi="Arial" w:cs="Arial"/>
          <w:lang w:val="es-MX"/>
        </w:rPr>
        <w:t>,</w:t>
      </w:r>
      <w:r w:rsidR="00337909" w:rsidRPr="005E6466">
        <w:rPr>
          <w:rFonts w:ascii="Arial" w:hAnsi="Arial" w:cs="Arial"/>
          <w:lang w:val="es-MX"/>
        </w:rPr>
        <w:t xml:space="preserve"> en términos del</w:t>
      </w:r>
      <w:r w:rsidR="007F1D07" w:rsidRPr="005E6466">
        <w:rPr>
          <w:rFonts w:ascii="Arial" w:hAnsi="Arial" w:cs="Arial"/>
          <w:lang w:val="es-MX"/>
        </w:rPr>
        <w:t xml:space="preserve"> artículo 31</w:t>
      </w:r>
      <w:r w:rsidR="00746304" w:rsidRPr="005E6466">
        <w:rPr>
          <w:rFonts w:ascii="Arial" w:hAnsi="Arial" w:cs="Arial"/>
          <w:lang w:val="es-MX"/>
        </w:rPr>
        <w:t>,</w:t>
      </w:r>
      <w:r w:rsidR="007F1D07" w:rsidRPr="005E6466">
        <w:rPr>
          <w:rFonts w:ascii="Arial" w:hAnsi="Arial" w:cs="Arial"/>
          <w:lang w:val="es-MX"/>
        </w:rPr>
        <w:t xml:space="preserve"> fracción IV</w:t>
      </w:r>
      <w:r w:rsidR="00746304" w:rsidRPr="005E6466">
        <w:rPr>
          <w:rFonts w:ascii="Arial" w:hAnsi="Arial" w:cs="Arial"/>
          <w:lang w:val="es-MX"/>
        </w:rPr>
        <w:t>,</w:t>
      </w:r>
      <w:r>
        <w:rPr>
          <w:rFonts w:ascii="Arial" w:hAnsi="Arial" w:cs="Arial"/>
          <w:lang w:val="es-MX"/>
        </w:rPr>
        <w:t xml:space="preserve"> de la Carta M</w:t>
      </w:r>
      <w:r w:rsidR="00337909" w:rsidRPr="005E6466">
        <w:rPr>
          <w:rFonts w:ascii="Arial" w:hAnsi="Arial" w:cs="Arial"/>
          <w:lang w:val="es-MX"/>
        </w:rPr>
        <w:t>agna, cuya esencia señala la obligación de todos los mexicanos para contribuir a</w:t>
      </w:r>
      <w:r w:rsidR="00811FD0" w:rsidRPr="005E6466">
        <w:rPr>
          <w:rFonts w:ascii="Arial" w:hAnsi="Arial" w:cs="Arial"/>
          <w:lang w:val="es-MX"/>
        </w:rPr>
        <w:t>l gasto público</w:t>
      </w:r>
      <w:r w:rsidR="00337909" w:rsidRPr="005E6466">
        <w:rPr>
          <w:rFonts w:ascii="Arial" w:hAnsi="Arial" w:cs="Arial"/>
          <w:lang w:val="es-MX"/>
        </w:rPr>
        <w:t xml:space="preserve"> en los tres órdenes de gobierno de una manera proporcional y equitativa. </w:t>
      </w:r>
    </w:p>
    <w:p w:rsidR="001D46D3" w:rsidRPr="005E6466" w:rsidRDefault="001D46D3" w:rsidP="00332525">
      <w:pPr>
        <w:autoSpaceDN w:val="0"/>
        <w:adjustRightInd w:val="0"/>
        <w:spacing w:line="360" w:lineRule="auto"/>
        <w:ind w:firstLine="709"/>
        <w:jc w:val="both"/>
        <w:rPr>
          <w:rFonts w:ascii="Arial" w:hAnsi="Arial" w:cs="Arial"/>
          <w:lang w:val="es-MX"/>
        </w:rPr>
      </w:pPr>
    </w:p>
    <w:p w:rsidR="006F1FC3" w:rsidRPr="005E6466" w:rsidRDefault="00337909" w:rsidP="0011574A">
      <w:pPr>
        <w:autoSpaceDN w:val="0"/>
        <w:adjustRightInd w:val="0"/>
        <w:spacing w:line="360" w:lineRule="auto"/>
        <w:ind w:firstLine="708"/>
        <w:jc w:val="both"/>
        <w:rPr>
          <w:rFonts w:ascii="Arial" w:hAnsi="Arial" w:cs="Arial"/>
        </w:rPr>
      </w:pPr>
      <w:r w:rsidRPr="005E6466">
        <w:rPr>
          <w:rFonts w:ascii="Arial" w:hAnsi="Arial" w:cs="Arial"/>
          <w:b/>
          <w:lang w:val="es-MX"/>
        </w:rPr>
        <w:t>SEGUNDA.</w:t>
      </w:r>
      <w:r w:rsidR="00A86569" w:rsidRPr="005E6466">
        <w:rPr>
          <w:rFonts w:ascii="Arial" w:hAnsi="Arial" w:cs="Arial"/>
          <w:b/>
          <w:lang w:val="es-MX"/>
        </w:rPr>
        <w:t xml:space="preserve"> </w:t>
      </w:r>
      <w:r w:rsidR="00A86569" w:rsidRPr="005E6466">
        <w:rPr>
          <w:rFonts w:ascii="Arial" w:hAnsi="Arial" w:cs="Arial"/>
          <w:lang w:val="es-MX"/>
        </w:rPr>
        <w:t>La propuesta de Ley de Ingresos del Estado de Yucat</w:t>
      </w:r>
      <w:r w:rsidR="00463F25">
        <w:rPr>
          <w:rFonts w:ascii="Arial" w:hAnsi="Arial" w:cs="Arial"/>
          <w:lang w:val="es-MX"/>
        </w:rPr>
        <w:t>án para el Ejercicio Fiscal 2022</w:t>
      </w:r>
      <w:r w:rsidR="00A86569" w:rsidRPr="005E6466">
        <w:rPr>
          <w:rFonts w:ascii="Arial" w:hAnsi="Arial" w:cs="Arial"/>
          <w:lang w:val="es-MX"/>
        </w:rPr>
        <w:t>,</w:t>
      </w:r>
      <w:r w:rsidR="00A86569" w:rsidRPr="005E6466">
        <w:rPr>
          <w:rFonts w:ascii="Arial" w:hAnsi="Arial" w:cs="Arial"/>
          <w:b/>
          <w:lang w:val="es-MX"/>
        </w:rPr>
        <w:t xml:space="preserve"> </w:t>
      </w:r>
      <w:r w:rsidR="00A86569" w:rsidRPr="005E6466">
        <w:rPr>
          <w:rFonts w:ascii="Arial" w:hAnsi="Arial" w:cs="Arial"/>
        </w:rPr>
        <w:t xml:space="preserve">que se somete a consideración constituye </w:t>
      </w:r>
      <w:r w:rsidR="00E912AB">
        <w:rPr>
          <w:rFonts w:ascii="Arial" w:hAnsi="Arial" w:cs="Arial"/>
        </w:rPr>
        <w:t>un instrumento jurídico que</w:t>
      </w:r>
      <w:r w:rsidR="00A86569" w:rsidRPr="005E6466">
        <w:rPr>
          <w:rFonts w:ascii="Arial" w:hAnsi="Arial" w:cs="Arial"/>
        </w:rPr>
        <w:t xml:space="preserve"> en coordinación con las demás leyes tributarias federales y locales, e</w:t>
      </w:r>
      <w:r w:rsidR="00891E48">
        <w:rPr>
          <w:rFonts w:ascii="Arial" w:hAnsi="Arial" w:cs="Arial"/>
        </w:rPr>
        <w:t>stablece la forma en la que el E</w:t>
      </w:r>
      <w:r w:rsidR="00A86569" w:rsidRPr="005E6466">
        <w:rPr>
          <w:rFonts w:ascii="Arial" w:hAnsi="Arial" w:cs="Arial"/>
        </w:rPr>
        <w:t xml:space="preserve">stado percibirá ingresos públicos durante el año </w:t>
      </w:r>
      <w:r w:rsidR="001B621C" w:rsidRPr="005E6466">
        <w:rPr>
          <w:rFonts w:ascii="Arial" w:hAnsi="Arial" w:cs="Arial"/>
        </w:rPr>
        <w:t>previsto</w:t>
      </w:r>
      <w:r w:rsidR="00A86569" w:rsidRPr="005E6466">
        <w:rPr>
          <w:rFonts w:ascii="Arial" w:hAnsi="Arial" w:cs="Arial"/>
        </w:rPr>
        <w:t>, para cumplir con sus funciones y garantizar la continuación de bienes y servicios necesarios para los yucatecos.</w:t>
      </w:r>
    </w:p>
    <w:p w:rsidR="006F1FC3" w:rsidRPr="005E6466" w:rsidRDefault="006F1FC3" w:rsidP="0011574A">
      <w:pPr>
        <w:autoSpaceDN w:val="0"/>
        <w:adjustRightInd w:val="0"/>
        <w:spacing w:line="360" w:lineRule="auto"/>
        <w:ind w:firstLine="708"/>
        <w:jc w:val="both"/>
        <w:rPr>
          <w:rFonts w:ascii="Arial" w:hAnsi="Arial" w:cs="Arial"/>
        </w:rPr>
      </w:pPr>
    </w:p>
    <w:p w:rsidR="00891E48" w:rsidRDefault="00E912AB" w:rsidP="00891E48">
      <w:pPr>
        <w:spacing w:line="360" w:lineRule="auto"/>
        <w:ind w:firstLine="708"/>
        <w:jc w:val="both"/>
        <w:rPr>
          <w:rFonts w:ascii="Arial" w:hAnsi="Arial" w:cs="Arial"/>
        </w:rPr>
      </w:pPr>
      <w:r>
        <w:rPr>
          <w:rFonts w:ascii="Arial" w:hAnsi="Arial" w:cs="Arial"/>
        </w:rPr>
        <w:t>En otro orden de ideas,</w:t>
      </w:r>
      <w:r w:rsidR="00614932">
        <w:rPr>
          <w:rFonts w:ascii="Arial" w:hAnsi="Arial" w:cs="Arial"/>
        </w:rPr>
        <w:t xml:space="preserve"> l</w:t>
      </w:r>
      <w:r w:rsidR="0011574A" w:rsidRPr="00D93F7E">
        <w:rPr>
          <w:rFonts w:ascii="Arial" w:hAnsi="Arial" w:cs="Arial"/>
        </w:rPr>
        <w:t xml:space="preserve">a política de ingresos estatales </w:t>
      </w:r>
      <w:r w:rsidR="0011574A">
        <w:rPr>
          <w:rFonts w:ascii="Arial" w:hAnsi="Arial" w:cs="Arial"/>
        </w:rPr>
        <w:t>representa</w:t>
      </w:r>
      <w:r w:rsidR="0011574A" w:rsidRPr="00D93F7E">
        <w:rPr>
          <w:rFonts w:ascii="Arial" w:hAnsi="Arial" w:cs="Arial"/>
        </w:rPr>
        <w:t xml:space="preserve"> un </w:t>
      </w:r>
      <w:r w:rsidR="0011574A">
        <w:rPr>
          <w:rFonts w:ascii="Arial" w:hAnsi="Arial" w:cs="Arial"/>
        </w:rPr>
        <w:t>aspecto</w:t>
      </w:r>
      <w:r w:rsidR="0011574A" w:rsidRPr="00D93F7E">
        <w:rPr>
          <w:rFonts w:ascii="Arial" w:hAnsi="Arial" w:cs="Arial"/>
        </w:rPr>
        <w:t xml:space="preserve"> importante </w:t>
      </w:r>
      <w:r w:rsidR="00206496">
        <w:rPr>
          <w:rFonts w:ascii="Arial" w:hAnsi="Arial" w:cs="Arial"/>
        </w:rPr>
        <w:t>en el contexto del E</w:t>
      </w:r>
      <w:r w:rsidR="0011574A">
        <w:rPr>
          <w:rFonts w:ascii="Arial" w:hAnsi="Arial" w:cs="Arial"/>
        </w:rPr>
        <w:t xml:space="preserve">stado, </w:t>
      </w:r>
      <w:r w:rsidR="0011574A" w:rsidRPr="00D93F7E">
        <w:rPr>
          <w:rFonts w:ascii="Arial" w:hAnsi="Arial" w:cs="Arial"/>
        </w:rPr>
        <w:t xml:space="preserve">principalmente </w:t>
      </w:r>
      <w:r w:rsidR="0011574A">
        <w:rPr>
          <w:rFonts w:ascii="Arial" w:hAnsi="Arial" w:cs="Arial"/>
        </w:rPr>
        <w:t xml:space="preserve">teniendo en consideración </w:t>
      </w:r>
      <w:r w:rsidR="0011574A" w:rsidRPr="00D93F7E">
        <w:rPr>
          <w:rFonts w:ascii="Arial" w:hAnsi="Arial" w:cs="Arial"/>
        </w:rPr>
        <w:t xml:space="preserve">la situación económica, sanitaria y social que </w:t>
      </w:r>
      <w:r w:rsidR="0011574A">
        <w:rPr>
          <w:rFonts w:ascii="Arial" w:hAnsi="Arial" w:cs="Arial"/>
        </w:rPr>
        <w:t>inició</w:t>
      </w:r>
      <w:r w:rsidR="0011574A" w:rsidRPr="00D93F7E">
        <w:rPr>
          <w:rFonts w:ascii="Arial" w:hAnsi="Arial" w:cs="Arial"/>
        </w:rPr>
        <w:t xml:space="preserve"> </w:t>
      </w:r>
      <w:r w:rsidR="0011574A">
        <w:rPr>
          <w:rFonts w:ascii="Arial" w:hAnsi="Arial" w:cs="Arial"/>
        </w:rPr>
        <w:t xml:space="preserve">desde </w:t>
      </w:r>
      <w:r w:rsidR="0011574A" w:rsidRPr="00D93F7E">
        <w:rPr>
          <w:rFonts w:ascii="Arial" w:hAnsi="Arial" w:cs="Arial"/>
        </w:rPr>
        <w:t>el año 20</w:t>
      </w:r>
      <w:r w:rsidR="0011574A">
        <w:rPr>
          <w:rFonts w:ascii="Arial" w:hAnsi="Arial" w:cs="Arial"/>
        </w:rPr>
        <w:t>20</w:t>
      </w:r>
      <w:r w:rsidR="0011574A" w:rsidRPr="00D93F7E">
        <w:rPr>
          <w:rFonts w:ascii="Arial" w:hAnsi="Arial" w:cs="Arial"/>
        </w:rPr>
        <w:t xml:space="preserve"> por la pandemia de </w:t>
      </w:r>
      <w:r w:rsidR="0011574A">
        <w:rPr>
          <w:rFonts w:ascii="Arial" w:hAnsi="Arial" w:cs="Arial"/>
        </w:rPr>
        <w:t xml:space="preserve">la enfermedad </w:t>
      </w:r>
      <w:r w:rsidR="0011574A" w:rsidRPr="00D93F7E">
        <w:rPr>
          <w:rFonts w:ascii="Arial" w:hAnsi="Arial" w:cs="Arial"/>
        </w:rPr>
        <w:t>COVID-19</w:t>
      </w:r>
      <w:r w:rsidR="0011574A">
        <w:rPr>
          <w:rFonts w:ascii="Arial" w:hAnsi="Arial" w:cs="Arial"/>
        </w:rPr>
        <w:t>; e</w:t>
      </w:r>
      <w:r w:rsidR="0011574A" w:rsidRPr="00D93F7E">
        <w:rPr>
          <w:rFonts w:ascii="Arial" w:hAnsi="Arial" w:cs="Arial"/>
        </w:rPr>
        <w:t xml:space="preserve">s por ello que </w:t>
      </w:r>
      <w:r w:rsidR="000E110F">
        <w:rPr>
          <w:rFonts w:ascii="Arial" w:hAnsi="Arial" w:cs="Arial"/>
        </w:rPr>
        <w:t xml:space="preserve">la </w:t>
      </w:r>
      <w:r w:rsidR="0011574A" w:rsidRPr="00D93F7E">
        <w:rPr>
          <w:rFonts w:ascii="Arial" w:hAnsi="Arial" w:cs="Arial"/>
        </w:rPr>
        <w:t xml:space="preserve">administración </w:t>
      </w:r>
      <w:r>
        <w:rPr>
          <w:rFonts w:ascii="Arial" w:hAnsi="Arial" w:cs="Arial"/>
        </w:rPr>
        <w:t>debe estar</w:t>
      </w:r>
      <w:r w:rsidR="0011574A" w:rsidRPr="00D93F7E">
        <w:rPr>
          <w:rFonts w:ascii="Arial" w:hAnsi="Arial" w:cs="Arial"/>
        </w:rPr>
        <w:t xml:space="preserve"> encaminada </w:t>
      </w:r>
      <w:r w:rsidR="000E110F">
        <w:rPr>
          <w:rFonts w:ascii="Arial" w:hAnsi="Arial" w:cs="Arial"/>
        </w:rPr>
        <w:t>a</w:t>
      </w:r>
      <w:r w:rsidR="0011574A" w:rsidRPr="00D93F7E">
        <w:rPr>
          <w:rFonts w:ascii="Arial" w:hAnsi="Arial" w:cs="Arial"/>
        </w:rPr>
        <w:t xml:space="preserve"> fortalecer la recaudación de ingresos propios, así como </w:t>
      </w:r>
      <w:r w:rsidR="0011574A">
        <w:rPr>
          <w:rFonts w:ascii="Arial" w:hAnsi="Arial" w:cs="Arial"/>
        </w:rPr>
        <w:t>a</w:t>
      </w:r>
      <w:r w:rsidR="0011574A" w:rsidRPr="00D93F7E">
        <w:rPr>
          <w:rFonts w:ascii="Arial" w:hAnsi="Arial" w:cs="Arial"/>
        </w:rPr>
        <w:t xml:space="preserve"> implementar políticas fiscales </w:t>
      </w:r>
      <w:r w:rsidR="0011574A">
        <w:rPr>
          <w:rFonts w:ascii="Arial" w:hAnsi="Arial" w:cs="Arial"/>
        </w:rPr>
        <w:t>que se ajusten</w:t>
      </w:r>
      <w:r w:rsidR="0011574A" w:rsidRPr="00D93F7E">
        <w:rPr>
          <w:rFonts w:ascii="Arial" w:hAnsi="Arial" w:cs="Arial"/>
        </w:rPr>
        <w:t xml:space="preserve"> a estos tiempos</w:t>
      </w:r>
      <w:r w:rsidR="0011574A">
        <w:rPr>
          <w:rFonts w:ascii="Arial" w:hAnsi="Arial" w:cs="Arial"/>
        </w:rPr>
        <w:t xml:space="preserve"> y a las necesidades </w:t>
      </w:r>
      <w:r w:rsidR="00891E48">
        <w:rPr>
          <w:rFonts w:ascii="Arial" w:hAnsi="Arial" w:cs="Arial"/>
        </w:rPr>
        <w:t>de la entidad</w:t>
      </w:r>
      <w:r w:rsidR="0011574A">
        <w:rPr>
          <w:rFonts w:ascii="Arial" w:hAnsi="Arial" w:cs="Arial"/>
        </w:rPr>
        <w:t>.</w:t>
      </w:r>
    </w:p>
    <w:p w:rsidR="00891E48" w:rsidRDefault="00891E48" w:rsidP="00891E48">
      <w:pPr>
        <w:spacing w:line="360" w:lineRule="auto"/>
        <w:ind w:firstLine="708"/>
        <w:jc w:val="both"/>
        <w:rPr>
          <w:rFonts w:ascii="Arial" w:hAnsi="Arial" w:cs="Arial"/>
        </w:rPr>
      </w:pPr>
    </w:p>
    <w:p w:rsidR="0011574A" w:rsidRPr="00E00D2B" w:rsidRDefault="000E110F" w:rsidP="00891E48">
      <w:pPr>
        <w:spacing w:line="360" w:lineRule="auto"/>
        <w:ind w:firstLine="708"/>
        <w:jc w:val="both"/>
        <w:rPr>
          <w:rFonts w:ascii="Arial" w:hAnsi="Arial" w:cs="Arial"/>
        </w:rPr>
      </w:pPr>
      <w:r>
        <w:rPr>
          <w:rFonts w:ascii="Arial" w:hAnsi="Arial" w:cs="Arial"/>
        </w:rPr>
        <w:t>Debido a</w:t>
      </w:r>
      <w:r w:rsidR="0011574A" w:rsidRPr="00D93F7E">
        <w:rPr>
          <w:rFonts w:ascii="Arial" w:hAnsi="Arial" w:cs="Arial"/>
        </w:rPr>
        <w:t xml:space="preserve"> las condiciones </w:t>
      </w:r>
      <w:r w:rsidR="0011574A">
        <w:rPr>
          <w:rFonts w:ascii="Arial" w:hAnsi="Arial" w:cs="Arial"/>
        </w:rPr>
        <w:t>actuales</w:t>
      </w:r>
      <w:r w:rsidR="0011574A" w:rsidRPr="00D93F7E">
        <w:rPr>
          <w:rFonts w:ascii="Arial" w:hAnsi="Arial" w:cs="Arial"/>
        </w:rPr>
        <w:t xml:space="preserve">, la administración tributaria de la entidad </w:t>
      </w:r>
      <w:r w:rsidR="00E912AB" w:rsidRPr="00D93F7E">
        <w:rPr>
          <w:rFonts w:ascii="Arial" w:hAnsi="Arial" w:cs="Arial"/>
        </w:rPr>
        <w:t>prevé</w:t>
      </w:r>
      <w:r w:rsidR="0011574A" w:rsidRPr="00D93F7E">
        <w:rPr>
          <w:rFonts w:ascii="Arial" w:hAnsi="Arial" w:cs="Arial"/>
        </w:rPr>
        <w:t xml:space="preserve">: </w:t>
      </w:r>
      <w:r>
        <w:rPr>
          <w:rFonts w:ascii="Arial" w:hAnsi="Arial" w:cs="Arial"/>
        </w:rPr>
        <w:t>a</w:t>
      </w:r>
      <w:r w:rsidR="0011574A" w:rsidRPr="00E00D2B">
        <w:rPr>
          <w:rFonts w:ascii="Arial" w:hAnsi="Arial" w:cs="Arial"/>
        </w:rPr>
        <w:t xml:space="preserve">lcanzar un incremento de 19% en la recaudación de ingresos propios en </w:t>
      </w:r>
      <w:r w:rsidR="0011574A">
        <w:rPr>
          <w:rFonts w:ascii="Arial" w:hAnsi="Arial" w:cs="Arial"/>
        </w:rPr>
        <w:t xml:space="preserve">el ejercicio fiscal </w:t>
      </w:r>
      <w:r w:rsidR="0011574A" w:rsidRPr="00E00D2B">
        <w:rPr>
          <w:rFonts w:ascii="Arial" w:hAnsi="Arial" w:cs="Arial"/>
        </w:rPr>
        <w:t xml:space="preserve">2022, respecto </w:t>
      </w:r>
      <w:r w:rsidR="0011574A">
        <w:rPr>
          <w:rFonts w:ascii="Arial" w:hAnsi="Arial" w:cs="Arial"/>
        </w:rPr>
        <w:t>de lo</w:t>
      </w:r>
      <w:r w:rsidR="0011574A" w:rsidRPr="00E00D2B">
        <w:rPr>
          <w:rFonts w:ascii="Arial" w:hAnsi="Arial" w:cs="Arial"/>
        </w:rPr>
        <w:t xml:space="preserve"> estimado </w:t>
      </w:r>
      <w:r w:rsidR="0011574A">
        <w:rPr>
          <w:rFonts w:ascii="Arial" w:hAnsi="Arial" w:cs="Arial"/>
        </w:rPr>
        <w:t>al</w:t>
      </w:r>
      <w:r w:rsidR="0011574A" w:rsidRPr="00E00D2B">
        <w:rPr>
          <w:rFonts w:ascii="Arial" w:hAnsi="Arial" w:cs="Arial"/>
        </w:rPr>
        <w:t xml:space="preserve"> cierre del ejercicio </w:t>
      </w:r>
      <w:r w:rsidR="0011574A">
        <w:rPr>
          <w:rFonts w:ascii="Arial" w:hAnsi="Arial" w:cs="Arial"/>
        </w:rPr>
        <w:t xml:space="preserve">fiscal </w:t>
      </w:r>
      <w:r w:rsidR="0011574A" w:rsidRPr="00E00D2B">
        <w:rPr>
          <w:rFonts w:ascii="Arial" w:hAnsi="Arial" w:cs="Arial"/>
        </w:rPr>
        <w:t>2021, que será resultado, principalmente, del esfuerzo recaudatorio de la autoridad fiscal</w:t>
      </w:r>
      <w:r w:rsidR="00891E48">
        <w:rPr>
          <w:rFonts w:ascii="Arial" w:hAnsi="Arial" w:cs="Arial"/>
        </w:rPr>
        <w:t xml:space="preserve"> del E</w:t>
      </w:r>
      <w:r w:rsidR="0011574A">
        <w:rPr>
          <w:rFonts w:ascii="Arial" w:hAnsi="Arial" w:cs="Arial"/>
        </w:rPr>
        <w:t>stado</w:t>
      </w:r>
      <w:r w:rsidR="0011574A" w:rsidRPr="00E00D2B">
        <w:rPr>
          <w:rFonts w:ascii="Arial" w:hAnsi="Arial" w:cs="Arial"/>
        </w:rPr>
        <w:t xml:space="preserve">. </w:t>
      </w:r>
    </w:p>
    <w:p w:rsidR="000E110F" w:rsidRDefault="000E110F" w:rsidP="0011574A">
      <w:pPr>
        <w:spacing w:line="360" w:lineRule="auto"/>
        <w:ind w:firstLine="708"/>
        <w:jc w:val="both"/>
        <w:rPr>
          <w:rFonts w:ascii="Arial" w:hAnsi="Arial" w:cs="Arial"/>
        </w:rPr>
      </w:pPr>
    </w:p>
    <w:p w:rsidR="0011574A" w:rsidRDefault="00E912AB" w:rsidP="0011574A">
      <w:pPr>
        <w:spacing w:line="360" w:lineRule="auto"/>
        <w:ind w:firstLine="708"/>
        <w:jc w:val="both"/>
        <w:rPr>
          <w:rFonts w:ascii="Arial" w:hAnsi="Arial" w:cs="Arial"/>
        </w:rPr>
      </w:pPr>
      <w:r>
        <w:rPr>
          <w:rFonts w:ascii="Arial" w:hAnsi="Arial" w:cs="Arial"/>
        </w:rPr>
        <w:lastRenderedPageBreak/>
        <w:t xml:space="preserve">También </w:t>
      </w:r>
      <w:r w:rsidR="000E110F">
        <w:rPr>
          <w:rFonts w:ascii="Arial" w:hAnsi="Arial" w:cs="Arial"/>
        </w:rPr>
        <w:t>enfoca</w:t>
      </w:r>
      <w:r w:rsidR="0011574A" w:rsidRPr="00E00D2B">
        <w:rPr>
          <w:rFonts w:ascii="Arial" w:hAnsi="Arial" w:cs="Arial"/>
        </w:rPr>
        <w:t xml:space="preserve"> </w:t>
      </w:r>
      <w:r>
        <w:rPr>
          <w:rFonts w:ascii="Arial" w:hAnsi="Arial" w:cs="Arial"/>
        </w:rPr>
        <w:t>sus</w:t>
      </w:r>
      <w:r w:rsidR="0011574A" w:rsidRPr="00E00D2B">
        <w:rPr>
          <w:rFonts w:ascii="Arial" w:hAnsi="Arial" w:cs="Arial"/>
        </w:rPr>
        <w:t xml:space="preserve"> principales estrategias hacia un trabajo coordinado con las diferentes entidades de la </w:t>
      </w:r>
      <w:r w:rsidR="0011574A">
        <w:rPr>
          <w:rFonts w:ascii="Arial" w:hAnsi="Arial" w:cs="Arial"/>
        </w:rPr>
        <w:t>A</w:t>
      </w:r>
      <w:r w:rsidR="0011574A" w:rsidRPr="00E00D2B">
        <w:rPr>
          <w:rFonts w:ascii="Arial" w:hAnsi="Arial" w:cs="Arial"/>
        </w:rPr>
        <w:t xml:space="preserve">dministración </w:t>
      </w:r>
      <w:r w:rsidR="0011574A">
        <w:rPr>
          <w:rFonts w:ascii="Arial" w:hAnsi="Arial" w:cs="Arial"/>
        </w:rPr>
        <w:t>P</w:t>
      </w:r>
      <w:r w:rsidR="0011574A" w:rsidRPr="00E00D2B">
        <w:rPr>
          <w:rFonts w:ascii="Arial" w:hAnsi="Arial" w:cs="Arial"/>
        </w:rPr>
        <w:t xml:space="preserve">ública estatal, como facilitar e incentivar al contribuyente </w:t>
      </w:r>
      <w:r w:rsidR="0011574A">
        <w:rPr>
          <w:rFonts w:ascii="Arial" w:hAnsi="Arial" w:cs="Arial"/>
        </w:rPr>
        <w:t>a cumplir</w:t>
      </w:r>
      <w:r w:rsidR="0011574A" w:rsidRPr="00E00D2B">
        <w:rPr>
          <w:rFonts w:ascii="Arial" w:hAnsi="Arial" w:cs="Arial"/>
        </w:rPr>
        <w:t xml:space="preserve"> </w:t>
      </w:r>
      <w:r w:rsidR="0011574A">
        <w:rPr>
          <w:rFonts w:ascii="Arial" w:hAnsi="Arial" w:cs="Arial"/>
        </w:rPr>
        <w:t xml:space="preserve">con </w:t>
      </w:r>
      <w:r w:rsidR="0011574A" w:rsidRPr="00E00D2B">
        <w:rPr>
          <w:rFonts w:ascii="Arial" w:hAnsi="Arial" w:cs="Arial"/>
        </w:rPr>
        <w:t>sus obligaciones fiscales</w:t>
      </w:r>
      <w:r w:rsidR="0011574A">
        <w:rPr>
          <w:rFonts w:ascii="Arial" w:hAnsi="Arial" w:cs="Arial"/>
        </w:rPr>
        <w:t>,</w:t>
      </w:r>
      <w:r w:rsidR="0011574A" w:rsidRPr="00E00D2B">
        <w:rPr>
          <w:rFonts w:ascii="Arial" w:hAnsi="Arial" w:cs="Arial"/>
        </w:rPr>
        <w:t xml:space="preserve"> ofreciendo más canales de atención, </w:t>
      </w:r>
      <w:r w:rsidR="0011574A">
        <w:rPr>
          <w:rFonts w:ascii="Arial" w:hAnsi="Arial" w:cs="Arial"/>
        </w:rPr>
        <w:t>al impulsar</w:t>
      </w:r>
      <w:r w:rsidR="0011574A" w:rsidRPr="00E00D2B">
        <w:rPr>
          <w:rFonts w:ascii="Arial" w:hAnsi="Arial" w:cs="Arial"/>
        </w:rPr>
        <w:t xml:space="preserve"> medios tecnológicos</w:t>
      </w:r>
      <w:r w:rsidR="0011574A">
        <w:rPr>
          <w:rFonts w:ascii="Arial" w:hAnsi="Arial" w:cs="Arial"/>
        </w:rPr>
        <w:t xml:space="preserve"> que otorguen</w:t>
      </w:r>
      <w:r w:rsidR="0011574A" w:rsidRPr="00E00D2B">
        <w:rPr>
          <w:rFonts w:ascii="Arial" w:hAnsi="Arial" w:cs="Arial"/>
        </w:rPr>
        <w:t xml:space="preserve"> a los contribuyentes la posibilidad de cumplir </w:t>
      </w:r>
      <w:r w:rsidR="0011574A">
        <w:rPr>
          <w:rFonts w:ascii="Arial" w:hAnsi="Arial" w:cs="Arial"/>
        </w:rPr>
        <w:t xml:space="preserve">con </w:t>
      </w:r>
      <w:r w:rsidR="0011574A" w:rsidRPr="00E00D2B">
        <w:rPr>
          <w:rFonts w:ascii="Arial" w:hAnsi="Arial" w:cs="Arial"/>
        </w:rPr>
        <w:t>las disposiciones fiscales de una manera rápida, práctica y sencilla, lo que favorecerá la atra</w:t>
      </w:r>
      <w:r w:rsidR="00891E48">
        <w:rPr>
          <w:rFonts w:ascii="Arial" w:hAnsi="Arial" w:cs="Arial"/>
        </w:rPr>
        <w:t>cción de nuevas inversiones al E</w:t>
      </w:r>
      <w:r w:rsidR="0011574A" w:rsidRPr="00E00D2B">
        <w:rPr>
          <w:rFonts w:ascii="Arial" w:hAnsi="Arial" w:cs="Arial"/>
        </w:rPr>
        <w:t>stado.</w:t>
      </w:r>
      <w:r w:rsidR="000E110F">
        <w:rPr>
          <w:rFonts w:ascii="Arial" w:hAnsi="Arial" w:cs="Arial"/>
        </w:rPr>
        <w:t xml:space="preserve"> </w:t>
      </w:r>
      <w:r w:rsidR="00A23E52">
        <w:rPr>
          <w:rFonts w:ascii="Arial" w:hAnsi="Arial" w:cs="Arial"/>
        </w:rPr>
        <w:t>Asimismo</w:t>
      </w:r>
      <w:r w:rsidR="00891E48">
        <w:rPr>
          <w:rFonts w:ascii="Arial" w:hAnsi="Arial" w:cs="Arial"/>
        </w:rPr>
        <w:t>,</w:t>
      </w:r>
      <w:r w:rsidR="000E110F">
        <w:rPr>
          <w:rFonts w:ascii="Arial" w:hAnsi="Arial" w:cs="Arial"/>
        </w:rPr>
        <w:t xml:space="preserve"> </w:t>
      </w:r>
      <w:r w:rsidR="005C5C68">
        <w:rPr>
          <w:rFonts w:ascii="Arial" w:hAnsi="Arial" w:cs="Arial"/>
        </w:rPr>
        <w:t xml:space="preserve">se </w:t>
      </w:r>
      <w:r w:rsidR="000E110F">
        <w:rPr>
          <w:rFonts w:ascii="Arial" w:hAnsi="Arial" w:cs="Arial"/>
        </w:rPr>
        <w:t>privilegia</w:t>
      </w:r>
      <w:r w:rsidR="0011574A" w:rsidRPr="00E00D2B">
        <w:rPr>
          <w:rFonts w:ascii="Arial" w:hAnsi="Arial" w:cs="Arial"/>
        </w:rPr>
        <w:t xml:space="preserve"> el acercamiento y cumplimiento voluntario de los contribuyentes, con un enfoque en la vigilancia, control y fiscalización de sus obligaciones fiscales.</w:t>
      </w:r>
    </w:p>
    <w:p w:rsidR="000E110F" w:rsidRPr="00E00D2B" w:rsidRDefault="000E110F" w:rsidP="0011574A">
      <w:pPr>
        <w:spacing w:line="360" w:lineRule="auto"/>
        <w:ind w:firstLine="708"/>
        <w:jc w:val="both"/>
        <w:rPr>
          <w:rFonts w:ascii="Arial" w:hAnsi="Arial" w:cs="Arial"/>
        </w:rPr>
      </w:pPr>
    </w:p>
    <w:p w:rsidR="0011574A" w:rsidRPr="00E00D2B" w:rsidRDefault="004851E2" w:rsidP="0011574A">
      <w:pPr>
        <w:spacing w:line="360" w:lineRule="auto"/>
        <w:ind w:firstLine="708"/>
        <w:jc w:val="both"/>
        <w:rPr>
          <w:rFonts w:ascii="Arial" w:hAnsi="Arial" w:cs="Arial"/>
        </w:rPr>
      </w:pPr>
      <w:r>
        <w:rPr>
          <w:rFonts w:ascii="Arial" w:hAnsi="Arial" w:cs="Arial"/>
        </w:rPr>
        <w:t>De igual modo,</w:t>
      </w:r>
      <w:r w:rsidR="00614932">
        <w:rPr>
          <w:rFonts w:ascii="Arial" w:hAnsi="Arial" w:cs="Arial"/>
        </w:rPr>
        <w:t xml:space="preserve"> </w:t>
      </w:r>
      <w:r w:rsidR="00180061">
        <w:rPr>
          <w:rFonts w:ascii="Arial" w:hAnsi="Arial" w:cs="Arial"/>
        </w:rPr>
        <w:t>propone cumplir</w:t>
      </w:r>
      <w:r w:rsidR="0011574A" w:rsidRPr="00E00D2B">
        <w:rPr>
          <w:rFonts w:ascii="Arial" w:hAnsi="Arial" w:cs="Arial"/>
        </w:rPr>
        <w:t xml:space="preserve"> con los comp</w:t>
      </w:r>
      <w:r w:rsidR="000E110F">
        <w:rPr>
          <w:rFonts w:ascii="Arial" w:hAnsi="Arial" w:cs="Arial"/>
        </w:rPr>
        <w:t xml:space="preserve">romisos adquiridos </w:t>
      </w:r>
      <w:r w:rsidR="002021BC">
        <w:rPr>
          <w:rFonts w:ascii="Arial" w:hAnsi="Arial" w:cs="Arial"/>
        </w:rPr>
        <w:t>e</w:t>
      </w:r>
      <w:r w:rsidR="00180061">
        <w:rPr>
          <w:rFonts w:ascii="Arial" w:hAnsi="Arial" w:cs="Arial"/>
        </w:rPr>
        <w:t xml:space="preserve"> </w:t>
      </w:r>
      <w:r w:rsidR="000E110F">
        <w:rPr>
          <w:rFonts w:ascii="Arial" w:hAnsi="Arial" w:cs="Arial"/>
        </w:rPr>
        <w:t>implementa</w:t>
      </w:r>
      <w:r w:rsidR="00180061">
        <w:rPr>
          <w:rFonts w:ascii="Arial" w:hAnsi="Arial" w:cs="Arial"/>
        </w:rPr>
        <w:t>r</w:t>
      </w:r>
      <w:r w:rsidR="000E110F">
        <w:rPr>
          <w:rFonts w:ascii="Arial" w:hAnsi="Arial" w:cs="Arial"/>
        </w:rPr>
        <w:t xml:space="preserve"> acciones coordinadas con el </w:t>
      </w:r>
      <w:r w:rsidR="0011574A" w:rsidRPr="00E00D2B">
        <w:rPr>
          <w:rFonts w:ascii="Arial" w:hAnsi="Arial" w:cs="Arial"/>
        </w:rPr>
        <w:t xml:space="preserve">gobierno federal y </w:t>
      </w:r>
      <w:r w:rsidR="000E110F">
        <w:rPr>
          <w:rFonts w:ascii="Arial" w:hAnsi="Arial" w:cs="Arial"/>
        </w:rPr>
        <w:t xml:space="preserve">los </w:t>
      </w:r>
      <w:r w:rsidR="0011574A" w:rsidRPr="00E00D2B">
        <w:rPr>
          <w:rFonts w:ascii="Arial" w:hAnsi="Arial" w:cs="Arial"/>
        </w:rPr>
        <w:t>municipales para lograr los objetivos planteado</w:t>
      </w:r>
      <w:r w:rsidR="00366D68">
        <w:rPr>
          <w:rFonts w:ascii="Arial" w:hAnsi="Arial" w:cs="Arial"/>
        </w:rPr>
        <w:t>s, en el marco del Convenio de c</w:t>
      </w:r>
      <w:r w:rsidR="0011574A" w:rsidRPr="00E00D2B">
        <w:rPr>
          <w:rFonts w:ascii="Arial" w:hAnsi="Arial" w:cs="Arial"/>
        </w:rPr>
        <w:t>olaboración Administrativa en Materia Fiscal Federal.</w:t>
      </w:r>
      <w:r w:rsidR="00614932">
        <w:rPr>
          <w:rFonts w:ascii="Arial" w:hAnsi="Arial" w:cs="Arial"/>
        </w:rPr>
        <w:t xml:space="preserve"> </w:t>
      </w:r>
      <w:r w:rsidR="002021BC">
        <w:rPr>
          <w:rFonts w:ascii="Arial" w:hAnsi="Arial" w:cs="Arial"/>
        </w:rPr>
        <w:t>De igual manera,</w:t>
      </w:r>
      <w:r w:rsidR="00614932">
        <w:rPr>
          <w:rFonts w:ascii="Arial" w:hAnsi="Arial" w:cs="Arial"/>
        </w:rPr>
        <w:t xml:space="preserve"> </w:t>
      </w:r>
      <w:r w:rsidR="002021BC">
        <w:rPr>
          <w:rFonts w:ascii="Arial" w:hAnsi="Arial" w:cs="Arial"/>
        </w:rPr>
        <w:t>se propone contribuir</w:t>
      </w:r>
      <w:r w:rsidR="0011574A" w:rsidRPr="00E00D2B">
        <w:rPr>
          <w:rFonts w:ascii="Arial" w:hAnsi="Arial" w:cs="Arial"/>
        </w:rPr>
        <w:t xml:space="preserve"> al cuidado del medio ambiente, mediante la implementación de impuestos ecológicos, en relación con la emisión de gases a la atmósfera y a la emisión de contaminantes al suelo, subsuelo y agua, para que Yucatán continúe caracterizándose por su abundante flora y fauna, así como por la calidad del aire.</w:t>
      </w:r>
    </w:p>
    <w:p w:rsidR="000E110F" w:rsidRDefault="000E110F" w:rsidP="0011574A">
      <w:pPr>
        <w:spacing w:line="360" w:lineRule="auto"/>
        <w:jc w:val="both"/>
        <w:rPr>
          <w:rFonts w:ascii="Arial" w:hAnsi="Arial" w:cs="Arial"/>
        </w:rPr>
      </w:pPr>
    </w:p>
    <w:p w:rsidR="0011574A" w:rsidRDefault="004851E2" w:rsidP="000E110F">
      <w:pPr>
        <w:spacing w:line="360" w:lineRule="auto"/>
        <w:ind w:firstLine="708"/>
        <w:jc w:val="both"/>
        <w:rPr>
          <w:rFonts w:ascii="Arial" w:hAnsi="Arial" w:cs="Arial"/>
        </w:rPr>
      </w:pPr>
      <w:r>
        <w:rPr>
          <w:rFonts w:ascii="Arial" w:hAnsi="Arial" w:cs="Arial"/>
        </w:rPr>
        <w:t xml:space="preserve">Por lo anterior, </w:t>
      </w:r>
      <w:r w:rsidR="002021BC">
        <w:rPr>
          <w:rFonts w:ascii="Arial" w:hAnsi="Arial" w:cs="Arial"/>
        </w:rPr>
        <w:t xml:space="preserve">es que </w:t>
      </w:r>
      <w:r>
        <w:rPr>
          <w:rFonts w:ascii="Arial" w:hAnsi="Arial" w:cs="Arial"/>
        </w:rPr>
        <w:t xml:space="preserve">el </w:t>
      </w:r>
      <w:r w:rsidR="0011574A">
        <w:rPr>
          <w:rFonts w:ascii="Arial" w:hAnsi="Arial" w:cs="Arial"/>
        </w:rPr>
        <w:t xml:space="preserve">fortalecimiento </w:t>
      </w:r>
      <w:r w:rsidR="0011574A" w:rsidRPr="00D93F7E">
        <w:rPr>
          <w:rFonts w:ascii="Arial" w:hAnsi="Arial" w:cs="Arial"/>
        </w:rPr>
        <w:t>de la recaudación de ingresos propios</w:t>
      </w:r>
      <w:r w:rsidR="0011574A">
        <w:rPr>
          <w:rFonts w:ascii="Arial" w:hAnsi="Arial" w:cs="Arial"/>
        </w:rPr>
        <w:t xml:space="preserve"> en el estado </w:t>
      </w:r>
      <w:r w:rsidR="00180061">
        <w:rPr>
          <w:rFonts w:ascii="Arial" w:hAnsi="Arial" w:cs="Arial"/>
        </w:rPr>
        <w:t>establece</w:t>
      </w:r>
      <w:r w:rsidR="0011574A" w:rsidRPr="00D93F7E">
        <w:rPr>
          <w:rFonts w:ascii="Arial" w:hAnsi="Arial" w:cs="Arial"/>
        </w:rPr>
        <w:t xml:space="preserve"> una estrategia imprescindible para hacer frente a la inestabilidad económica, así como para sufragar gran parte del gasto público y satisfacer las necesidades</w:t>
      </w:r>
      <w:r w:rsidR="0011574A">
        <w:rPr>
          <w:rFonts w:ascii="Arial" w:hAnsi="Arial" w:cs="Arial"/>
        </w:rPr>
        <w:t xml:space="preserve"> de los yucatecos, ante la incertidumbre económica en la que se encuentran tanto las pequeñas como las grandes empresas por la situación actual.</w:t>
      </w:r>
    </w:p>
    <w:p w:rsidR="003912AF" w:rsidRPr="005E6466" w:rsidRDefault="003912AF" w:rsidP="004F78A3">
      <w:pPr>
        <w:autoSpaceDN w:val="0"/>
        <w:adjustRightInd w:val="0"/>
        <w:spacing w:line="360" w:lineRule="auto"/>
        <w:ind w:firstLine="708"/>
        <w:jc w:val="both"/>
        <w:rPr>
          <w:rFonts w:ascii="Arial" w:hAnsi="Arial" w:cs="Arial"/>
        </w:rPr>
      </w:pPr>
    </w:p>
    <w:p w:rsidR="003912AF" w:rsidRPr="005E6466" w:rsidRDefault="003912AF" w:rsidP="003912AF">
      <w:pPr>
        <w:spacing w:line="360" w:lineRule="auto"/>
        <w:ind w:firstLine="708"/>
        <w:jc w:val="both"/>
        <w:rPr>
          <w:rFonts w:ascii="Arial" w:hAnsi="Arial" w:cs="Arial"/>
        </w:rPr>
      </w:pPr>
      <w:r w:rsidRPr="005E6466">
        <w:rPr>
          <w:rFonts w:ascii="Arial" w:hAnsi="Arial" w:cs="Arial"/>
          <w:b/>
        </w:rPr>
        <w:lastRenderedPageBreak/>
        <w:t xml:space="preserve">TERCERA. </w:t>
      </w:r>
      <w:r w:rsidR="004851E2">
        <w:rPr>
          <w:rFonts w:ascii="Arial" w:hAnsi="Arial" w:cs="Arial"/>
        </w:rPr>
        <w:t>Por otro lado</w:t>
      </w:r>
      <w:r w:rsidRPr="005E6466">
        <w:rPr>
          <w:rFonts w:ascii="Arial" w:hAnsi="Arial" w:cs="Arial"/>
        </w:rPr>
        <w:t>, el Titular del Poder Ejecutivo del Estado, en ejercicio de las facultades que la normatividad correspondiente le marca, presentó en tiempo y forma la iniciativa de la Ley de Ingresos</w:t>
      </w:r>
      <w:r w:rsidR="00C971B4" w:rsidRPr="005E6466">
        <w:rPr>
          <w:rFonts w:ascii="Arial" w:hAnsi="Arial" w:cs="Arial"/>
        </w:rPr>
        <w:t xml:space="preserve"> del Estado de Yucatán para el E</w:t>
      </w:r>
      <w:r w:rsidRPr="005E6466">
        <w:rPr>
          <w:rFonts w:ascii="Arial" w:hAnsi="Arial" w:cs="Arial"/>
        </w:rPr>
        <w:t xml:space="preserve">jercicio </w:t>
      </w:r>
      <w:r w:rsidR="00C971B4" w:rsidRPr="005E6466">
        <w:rPr>
          <w:rFonts w:ascii="Arial" w:hAnsi="Arial" w:cs="Arial"/>
        </w:rPr>
        <w:t>F</w:t>
      </w:r>
      <w:r w:rsidRPr="005E6466">
        <w:rPr>
          <w:rFonts w:ascii="Arial" w:hAnsi="Arial" w:cs="Arial"/>
        </w:rPr>
        <w:t>iscal 20</w:t>
      </w:r>
      <w:r w:rsidR="007B0B84" w:rsidRPr="005E6466">
        <w:rPr>
          <w:rFonts w:ascii="Arial" w:hAnsi="Arial" w:cs="Arial"/>
        </w:rPr>
        <w:t>2</w:t>
      </w:r>
      <w:r w:rsidR="00463F25">
        <w:rPr>
          <w:rFonts w:ascii="Arial" w:hAnsi="Arial" w:cs="Arial"/>
        </w:rPr>
        <w:t>2</w:t>
      </w:r>
      <w:r w:rsidR="001478C5" w:rsidRPr="005E6466">
        <w:rPr>
          <w:rFonts w:ascii="Arial" w:hAnsi="Arial" w:cs="Arial"/>
        </w:rPr>
        <w:t>, tal y como se ha dejado claro anteriormente, una ley fuera de lo habitual</w:t>
      </w:r>
      <w:r w:rsidR="008B1BCD" w:rsidRPr="005E6466">
        <w:rPr>
          <w:rFonts w:ascii="Arial" w:hAnsi="Arial" w:cs="Arial"/>
        </w:rPr>
        <w:t>mente acostumbrado</w:t>
      </w:r>
      <w:r w:rsidR="001478C5" w:rsidRPr="005E6466">
        <w:rPr>
          <w:rFonts w:ascii="Arial" w:hAnsi="Arial" w:cs="Arial"/>
        </w:rPr>
        <w:t xml:space="preserve">, por las </w:t>
      </w:r>
      <w:r w:rsidR="008B1BCD" w:rsidRPr="005E6466">
        <w:rPr>
          <w:rFonts w:ascii="Arial" w:hAnsi="Arial" w:cs="Arial"/>
        </w:rPr>
        <w:t xml:space="preserve">diferentes </w:t>
      </w:r>
      <w:r w:rsidR="001478C5" w:rsidRPr="005E6466">
        <w:rPr>
          <w:rFonts w:ascii="Arial" w:hAnsi="Arial" w:cs="Arial"/>
        </w:rPr>
        <w:t xml:space="preserve">repercusiones que conlleva </w:t>
      </w:r>
      <w:r w:rsidR="008B1BCD" w:rsidRPr="005E6466">
        <w:rPr>
          <w:rFonts w:ascii="Arial" w:hAnsi="Arial" w:cs="Arial"/>
        </w:rPr>
        <w:t xml:space="preserve">a causa </w:t>
      </w:r>
      <w:r w:rsidR="001478C5" w:rsidRPr="005E6466">
        <w:rPr>
          <w:rFonts w:ascii="Arial" w:hAnsi="Arial" w:cs="Arial"/>
        </w:rPr>
        <w:t xml:space="preserve">de la pandemia </w:t>
      </w:r>
      <w:r w:rsidR="008B1BCD" w:rsidRPr="005E6466">
        <w:rPr>
          <w:rFonts w:ascii="Arial" w:hAnsi="Arial" w:cs="Arial"/>
        </w:rPr>
        <w:t xml:space="preserve">en la que </w:t>
      </w:r>
      <w:r w:rsidR="001478C5" w:rsidRPr="005E6466">
        <w:rPr>
          <w:rFonts w:ascii="Arial" w:hAnsi="Arial" w:cs="Arial"/>
        </w:rPr>
        <w:t>actualmente nos encontramos.</w:t>
      </w:r>
      <w:r w:rsidRPr="005E6466">
        <w:rPr>
          <w:rFonts w:ascii="Arial" w:hAnsi="Arial" w:cs="Arial"/>
        </w:rPr>
        <w:t xml:space="preserve"> </w:t>
      </w:r>
    </w:p>
    <w:p w:rsidR="003912AF" w:rsidRPr="005E6466" w:rsidRDefault="003912AF" w:rsidP="003912AF">
      <w:pPr>
        <w:spacing w:line="360" w:lineRule="auto"/>
        <w:ind w:firstLine="708"/>
        <w:jc w:val="both"/>
        <w:rPr>
          <w:rFonts w:ascii="Arial" w:hAnsi="Arial" w:cs="Arial"/>
        </w:rPr>
      </w:pPr>
    </w:p>
    <w:p w:rsidR="00D753D5" w:rsidRPr="005E6466" w:rsidRDefault="003912AF" w:rsidP="00D753D5">
      <w:pPr>
        <w:spacing w:line="360" w:lineRule="auto"/>
        <w:jc w:val="both"/>
        <w:rPr>
          <w:rFonts w:ascii="Arial" w:hAnsi="Arial" w:cs="Arial"/>
        </w:rPr>
      </w:pPr>
      <w:r w:rsidRPr="005E6466">
        <w:rPr>
          <w:rFonts w:ascii="Arial" w:hAnsi="Arial" w:cs="Arial"/>
        </w:rPr>
        <w:tab/>
      </w:r>
      <w:r w:rsidR="003204C1" w:rsidRPr="005E6466">
        <w:rPr>
          <w:rFonts w:ascii="Arial" w:hAnsi="Arial" w:cs="Arial"/>
        </w:rPr>
        <w:t>A través de e</w:t>
      </w:r>
      <w:r w:rsidRPr="005E6466">
        <w:rPr>
          <w:rFonts w:ascii="Arial" w:hAnsi="Arial" w:cs="Arial"/>
        </w:rPr>
        <w:t xml:space="preserve">sta ley </w:t>
      </w:r>
      <w:r w:rsidR="003204C1" w:rsidRPr="005E6466">
        <w:rPr>
          <w:rFonts w:ascii="Arial" w:hAnsi="Arial" w:cs="Arial"/>
        </w:rPr>
        <w:t>de ingresos 202</w:t>
      </w:r>
      <w:r w:rsidR="00463F25">
        <w:rPr>
          <w:rFonts w:ascii="Arial" w:hAnsi="Arial" w:cs="Arial"/>
        </w:rPr>
        <w:t>2</w:t>
      </w:r>
      <w:r w:rsidR="003204C1" w:rsidRPr="005E6466">
        <w:rPr>
          <w:rFonts w:ascii="Arial" w:hAnsi="Arial" w:cs="Arial"/>
        </w:rPr>
        <w:t xml:space="preserve">, se establecerá </w:t>
      </w:r>
      <w:r w:rsidRPr="005E6466">
        <w:rPr>
          <w:rFonts w:ascii="Arial" w:hAnsi="Arial" w:cs="Arial"/>
        </w:rPr>
        <w:t xml:space="preserve">los recursos que el Estado, a través de los diferentes rubros, tiene la expectativa de percibir para </w:t>
      </w:r>
      <w:r w:rsidR="003204C1" w:rsidRPr="005E6466">
        <w:rPr>
          <w:rFonts w:ascii="Arial" w:hAnsi="Arial" w:cs="Arial"/>
        </w:rPr>
        <w:t xml:space="preserve">tal </w:t>
      </w:r>
      <w:r w:rsidRPr="005E6466">
        <w:rPr>
          <w:rFonts w:ascii="Arial" w:hAnsi="Arial" w:cs="Arial"/>
        </w:rPr>
        <w:t>ejercicio fiscal. La determinación de los ingresos permitirá crear un balance presupuestario entre los ingresos y los egresos previstos en el Presupuesto de Egresos del Gobierno del Estado de Yucatán para el Ejercicio Fiscal 20</w:t>
      </w:r>
      <w:r w:rsidR="003204C1" w:rsidRPr="005E6466">
        <w:rPr>
          <w:rFonts w:ascii="Arial" w:hAnsi="Arial" w:cs="Arial"/>
        </w:rPr>
        <w:t>2</w:t>
      </w:r>
      <w:r w:rsidR="00463F25">
        <w:rPr>
          <w:rFonts w:ascii="Arial" w:hAnsi="Arial" w:cs="Arial"/>
        </w:rPr>
        <w:t>2</w:t>
      </w:r>
      <w:r w:rsidR="00D753D5" w:rsidRPr="005E6466">
        <w:rPr>
          <w:rFonts w:ascii="Arial" w:hAnsi="Arial" w:cs="Arial"/>
        </w:rPr>
        <w:t>.</w:t>
      </w:r>
    </w:p>
    <w:p w:rsidR="00D753D5" w:rsidRPr="005E6466" w:rsidRDefault="00D753D5" w:rsidP="00D753D5">
      <w:pPr>
        <w:spacing w:line="360" w:lineRule="auto"/>
        <w:jc w:val="both"/>
        <w:rPr>
          <w:rFonts w:ascii="Arial" w:hAnsi="Arial" w:cs="Arial"/>
        </w:rPr>
      </w:pPr>
    </w:p>
    <w:p w:rsidR="00A12890" w:rsidRPr="005E6466" w:rsidRDefault="003912AF" w:rsidP="00A12890">
      <w:pPr>
        <w:spacing w:line="360" w:lineRule="auto"/>
        <w:ind w:firstLine="708"/>
        <w:jc w:val="both"/>
        <w:rPr>
          <w:rFonts w:ascii="Arial" w:hAnsi="Arial" w:cs="Arial"/>
        </w:rPr>
      </w:pPr>
      <w:r w:rsidRPr="005E6466">
        <w:rPr>
          <w:rFonts w:ascii="Arial" w:hAnsi="Arial" w:cs="Arial"/>
          <w:lang w:val="es-MX"/>
        </w:rPr>
        <w:t xml:space="preserve">Cabe señalar que como se desprende de la  iniciativa, el proyecto de Ley de Ingresos del Estado de Yucatán para el </w:t>
      </w:r>
      <w:r w:rsidR="00BF05A8" w:rsidRPr="005E6466">
        <w:rPr>
          <w:rFonts w:ascii="Arial" w:hAnsi="Arial" w:cs="Arial"/>
          <w:lang w:val="es-MX"/>
        </w:rPr>
        <w:t>E</w:t>
      </w:r>
      <w:r w:rsidRPr="005E6466">
        <w:rPr>
          <w:rFonts w:ascii="Arial" w:hAnsi="Arial" w:cs="Arial"/>
          <w:lang w:val="es-MX"/>
        </w:rPr>
        <w:t xml:space="preserve">jercicio </w:t>
      </w:r>
      <w:r w:rsidR="00BF05A8" w:rsidRPr="005E6466">
        <w:rPr>
          <w:rFonts w:ascii="Arial" w:hAnsi="Arial" w:cs="Arial"/>
          <w:lang w:val="es-MX"/>
        </w:rPr>
        <w:t>F</w:t>
      </w:r>
      <w:r w:rsidRPr="005E6466">
        <w:rPr>
          <w:rFonts w:ascii="Arial" w:hAnsi="Arial" w:cs="Arial"/>
          <w:lang w:val="es-MX"/>
        </w:rPr>
        <w:t>iscal 202</w:t>
      </w:r>
      <w:r w:rsidR="00463F25">
        <w:rPr>
          <w:rFonts w:ascii="Arial" w:hAnsi="Arial" w:cs="Arial"/>
          <w:lang w:val="es-MX"/>
        </w:rPr>
        <w:t>2</w:t>
      </w:r>
      <w:r w:rsidRPr="005E6466">
        <w:rPr>
          <w:rFonts w:ascii="Arial" w:hAnsi="Arial" w:cs="Arial"/>
          <w:lang w:val="es-MX"/>
        </w:rPr>
        <w:t xml:space="preserve"> está elaborado con base en lo establecido </w:t>
      </w:r>
      <w:r w:rsidR="00D753D5" w:rsidRPr="005E6466">
        <w:rPr>
          <w:rFonts w:ascii="Arial" w:hAnsi="Arial" w:cs="Arial"/>
        </w:rPr>
        <w:t>en la Ley General de Hacienda del Estado de Yucatán, la Ley de Planeación para el Desarrollo del Estado de Yucatán, la Ley de Coordinación Fiscal federal y estatal, la Ley General de Contabilidad Gubernamental, la Ley de Disciplina Financiera de las Entidades Federativas y los Municipios, la Ley del Presupuesto y Contabilidad Gubernamental del Estado de Yucatán, y la normativa emitida por el Consejo Nacional de Armonización Contable.</w:t>
      </w:r>
    </w:p>
    <w:p w:rsidR="00A12890" w:rsidRDefault="00A12890" w:rsidP="002845B4">
      <w:pPr>
        <w:spacing w:line="360" w:lineRule="auto"/>
        <w:ind w:firstLine="709"/>
        <w:jc w:val="both"/>
        <w:rPr>
          <w:rFonts w:ascii="Arial" w:hAnsi="Arial" w:cs="Arial"/>
          <w:lang w:val="es-MX"/>
        </w:rPr>
      </w:pPr>
    </w:p>
    <w:p w:rsidR="002845B4" w:rsidRDefault="002845B4" w:rsidP="002845B4">
      <w:pPr>
        <w:suppressAutoHyphens/>
        <w:spacing w:line="360" w:lineRule="auto"/>
        <w:ind w:firstLine="708"/>
        <w:jc w:val="both"/>
        <w:rPr>
          <w:rFonts w:ascii="Arial" w:hAnsi="Arial" w:cs="Arial"/>
        </w:rPr>
      </w:pPr>
      <w:r w:rsidRPr="00A85EFF">
        <w:rPr>
          <w:rFonts w:ascii="Arial" w:hAnsi="Arial" w:cs="Arial"/>
        </w:rPr>
        <w:t xml:space="preserve">Para el ejercicio fiscal 2022, el Gobierno del estado propone la creación de dos nuevos impuestos ambientales, tema novedoso para nuestra entidad, que </w:t>
      </w:r>
      <w:r>
        <w:rPr>
          <w:rFonts w:ascii="Arial" w:hAnsi="Arial" w:cs="Arial"/>
        </w:rPr>
        <w:t>brindarán</w:t>
      </w:r>
      <w:r w:rsidRPr="00A85EFF">
        <w:rPr>
          <w:rFonts w:ascii="Arial" w:hAnsi="Arial" w:cs="Arial"/>
        </w:rPr>
        <w:t xml:space="preserve"> solidez a los ingresos</w:t>
      </w:r>
      <w:r>
        <w:rPr>
          <w:rFonts w:ascii="Arial" w:hAnsi="Arial" w:cs="Arial"/>
        </w:rPr>
        <w:t xml:space="preserve"> y permitirán cumplir con diversos compromisos internacionales en la materia. Estos nuevos impuestos</w:t>
      </w:r>
      <w:r w:rsidRPr="00A85EFF">
        <w:rPr>
          <w:rFonts w:ascii="Arial" w:hAnsi="Arial" w:cs="Arial"/>
        </w:rPr>
        <w:t xml:space="preserve"> </w:t>
      </w:r>
      <w:r>
        <w:rPr>
          <w:rFonts w:ascii="Arial" w:hAnsi="Arial" w:cs="Arial"/>
        </w:rPr>
        <w:t xml:space="preserve">inhibirán </w:t>
      </w:r>
      <w:r>
        <w:rPr>
          <w:rFonts w:ascii="Arial" w:hAnsi="Arial" w:cs="Arial"/>
        </w:rPr>
        <w:lastRenderedPageBreak/>
        <w:t xml:space="preserve">determinadas conductas para mitigar </w:t>
      </w:r>
      <w:r w:rsidRPr="00A85EFF">
        <w:rPr>
          <w:rFonts w:ascii="Arial" w:hAnsi="Arial" w:cs="Arial"/>
        </w:rPr>
        <w:t>los efectos de la contaminación</w:t>
      </w:r>
      <w:r>
        <w:rPr>
          <w:rFonts w:ascii="Arial" w:hAnsi="Arial" w:cs="Arial"/>
        </w:rPr>
        <w:t xml:space="preserve"> que implican un daño a la salud pública.</w:t>
      </w:r>
    </w:p>
    <w:p w:rsidR="002845B4" w:rsidRDefault="002845B4" w:rsidP="002845B4">
      <w:pPr>
        <w:suppressAutoHyphens/>
        <w:spacing w:line="360" w:lineRule="auto"/>
        <w:jc w:val="both"/>
        <w:rPr>
          <w:rFonts w:ascii="Arial" w:hAnsi="Arial" w:cs="Arial"/>
        </w:rPr>
      </w:pPr>
    </w:p>
    <w:p w:rsidR="003912AF" w:rsidRPr="005E6466" w:rsidRDefault="003912AF" w:rsidP="003912AF">
      <w:pPr>
        <w:spacing w:line="360" w:lineRule="auto"/>
        <w:ind w:firstLine="709"/>
        <w:jc w:val="both"/>
        <w:rPr>
          <w:rFonts w:ascii="Arial" w:hAnsi="Arial" w:cs="Arial"/>
        </w:rPr>
      </w:pPr>
      <w:r w:rsidRPr="005E6466">
        <w:rPr>
          <w:rFonts w:ascii="Arial" w:hAnsi="Arial" w:cs="Arial"/>
          <w:iCs/>
        </w:rPr>
        <w:t xml:space="preserve">Bajo este tenor, es importante mencionar que lo anterior encuentra fundamento en el artículo 31 fracción IV de la Constitución Política de los Estados Unidos Mexicanos, así como en el artículo 3 de la Carta Magna, en donde se establece </w:t>
      </w:r>
      <w:r w:rsidRPr="005E6466">
        <w:rPr>
          <w:rFonts w:ascii="Arial" w:hAnsi="Arial" w:cs="Arial"/>
        </w:rPr>
        <w:t xml:space="preserve">la obligación de los mexicanos a contribuir para los gastos públicos en el </w:t>
      </w:r>
      <w:r w:rsidR="009215FB" w:rsidRPr="005E6466">
        <w:rPr>
          <w:rFonts w:ascii="Arial" w:hAnsi="Arial" w:cs="Arial"/>
        </w:rPr>
        <w:t>E</w:t>
      </w:r>
      <w:r w:rsidRPr="005E6466">
        <w:rPr>
          <w:rFonts w:ascii="Arial" w:hAnsi="Arial" w:cs="Arial"/>
        </w:rPr>
        <w:t>stado en que residan, de manera proporcional y equitativa que dispongan las leyes respectivas.</w:t>
      </w:r>
    </w:p>
    <w:p w:rsidR="003912AF" w:rsidRPr="005E6466" w:rsidRDefault="003912AF" w:rsidP="003912AF">
      <w:pPr>
        <w:spacing w:line="360" w:lineRule="auto"/>
        <w:ind w:firstLine="708"/>
        <w:jc w:val="both"/>
        <w:rPr>
          <w:rFonts w:ascii="Arial" w:hAnsi="Arial" w:cs="Arial"/>
        </w:rPr>
      </w:pPr>
    </w:p>
    <w:p w:rsidR="003912AF" w:rsidRPr="005E6466" w:rsidRDefault="003912AF" w:rsidP="003912AF">
      <w:pPr>
        <w:spacing w:line="360" w:lineRule="auto"/>
        <w:ind w:firstLine="709"/>
        <w:jc w:val="both"/>
        <w:rPr>
          <w:rFonts w:ascii="Arial" w:hAnsi="Arial" w:cs="Arial"/>
        </w:rPr>
      </w:pPr>
      <w:r w:rsidRPr="005E6466">
        <w:rPr>
          <w:rFonts w:ascii="Arial" w:hAnsi="Arial" w:cs="Arial"/>
        </w:rPr>
        <w:t>En ese sentido de la normatividad expuesta, se derivan fundamentalmente los principios de justicia fiscal o tributaria, mismos que se deben ceñir a todas las contribuciones, teniendo en cuenta los principios de generalidad, obligatoriedad, proporcionalidad, equidad y legalidad tributaria.</w:t>
      </w:r>
    </w:p>
    <w:p w:rsidR="003912AF" w:rsidRPr="005E6466" w:rsidRDefault="003912AF" w:rsidP="003912AF">
      <w:pPr>
        <w:spacing w:line="360" w:lineRule="auto"/>
        <w:ind w:firstLine="709"/>
        <w:jc w:val="both"/>
        <w:rPr>
          <w:rFonts w:ascii="Arial" w:hAnsi="Arial" w:cs="Arial"/>
        </w:rPr>
      </w:pPr>
    </w:p>
    <w:p w:rsidR="003912AF" w:rsidRPr="005E6466" w:rsidRDefault="003912AF" w:rsidP="007A18EB">
      <w:pPr>
        <w:tabs>
          <w:tab w:val="left" w:pos="2796"/>
        </w:tabs>
        <w:spacing w:line="360" w:lineRule="auto"/>
        <w:ind w:firstLine="709"/>
        <w:jc w:val="both"/>
        <w:rPr>
          <w:rFonts w:ascii="Arial" w:hAnsi="Arial" w:cs="Arial"/>
        </w:rPr>
      </w:pPr>
      <w:r w:rsidRPr="005E6466">
        <w:rPr>
          <w:rFonts w:ascii="Arial" w:hAnsi="Arial" w:cs="Arial"/>
        </w:rPr>
        <w:t>Por tanto es</w:t>
      </w:r>
      <w:r w:rsidR="005C4C62" w:rsidRPr="005E6466">
        <w:rPr>
          <w:rFonts w:ascii="Arial" w:hAnsi="Arial" w:cs="Arial"/>
        </w:rPr>
        <w:t xml:space="preserve"> en la ley de i</w:t>
      </w:r>
      <w:r w:rsidRPr="005E6466">
        <w:rPr>
          <w:rFonts w:ascii="Arial" w:hAnsi="Arial" w:cs="Arial"/>
        </w:rPr>
        <w:t>ngresos, el instrumento jurídico a través del cual se establece la forma en la que el estado va a percibir ingresos públicos, al establecer los montos y formas para cobrar impuestos, derechos y todas las diversas formas con las que el gobierno se hace de recursos para cumplir con sus funciones y garantizar el desarrollo económico y funcionamiento del estado, tomando en consideración las circunstancias en las que se encuentra inmersa hoy en día la sociedad yucateca, a efecto de concientizar las entradas económicas, calculando una captación de ingresos con un enfoque moderado así como la racionalización en el gasto público.</w:t>
      </w:r>
    </w:p>
    <w:p w:rsidR="003912AF" w:rsidRPr="005E6466" w:rsidRDefault="003912AF" w:rsidP="007A18EB">
      <w:pPr>
        <w:spacing w:line="360" w:lineRule="auto"/>
        <w:ind w:firstLine="709"/>
        <w:jc w:val="both"/>
        <w:rPr>
          <w:rFonts w:ascii="Arial" w:hAnsi="Arial" w:cs="Arial"/>
        </w:rPr>
      </w:pPr>
    </w:p>
    <w:p w:rsidR="003912AF" w:rsidRPr="005E6466" w:rsidRDefault="00D41175" w:rsidP="007A18EB">
      <w:pPr>
        <w:spacing w:line="360" w:lineRule="auto"/>
        <w:ind w:firstLine="709"/>
        <w:jc w:val="both"/>
        <w:rPr>
          <w:rFonts w:ascii="Arial" w:hAnsi="Arial" w:cs="Arial"/>
        </w:rPr>
      </w:pPr>
      <w:r w:rsidRPr="005E6466">
        <w:rPr>
          <w:rFonts w:ascii="Arial" w:hAnsi="Arial" w:cs="Arial"/>
          <w:b/>
          <w:iCs/>
          <w:color w:val="000000"/>
          <w:spacing w:val="-2"/>
        </w:rPr>
        <w:t xml:space="preserve">CUARTA. </w:t>
      </w:r>
      <w:r w:rsidR="00877CB6" w:rsidRPr="005E6466">
        <w:rPr>
          <w:rFonts w:ascii="Arial" w:hAnsi="Arial" w:cs="Arial"/>
          <w:iCs/>
          <w:color w:val="000000"/>
          <w:spacing w:val="-2"/>
        </w:rPr>
        <w:t>En efecto, l</w:t>
      </w:r>
      <w:r w:rsidR="003912AF" w:rsidRPr="005E6466">
        <w:rPr>
          <w:rFonts w:ascii="Arial" w:hAnsi="Arial" w:cs="Arial"/>
          <w:iCs/>
        </w:rPr>
        <w:t xml:space="preserve">a estimación de los ingresos que se </w:t>
      </w:r>
      <w:r w:rsidR="00877CB6" w:rsidRPr="005E6466">
        <w:rPr>
          <w:rFonts w:ascii="Arial" w:hAnsi="Arial" w:cs="Arial"/>
          <w:iCs/>
        </w:rPr>
        <w:t>obtendrán en el estado de Yucatán del 1 de enero de 202</w:t>
      </w:r>
      <w:r w:rsidR="00463F25">
        <w:rPr>
          <w:rFonts w:ascii="Arial" w:hAnsi="Arial" w:cs="Arial"/>
          <w:iCs/>
        </w:rPr>
        <w:t>2</w:t>
      </w:r>
      <w:r w:rsidR="00877CB6" w:rsidRPr="005E6466">
        <w:rPr>
          <w:rFonts w:ascii="Arial" w:hAnsi="Arial" w:cs="Arial"/>
          <w:iCs/>
        </w:rPr>
        <w:t xml:space="preserve"> al 31 de diciembre de 202</w:t>
      </w:r>
      <w:r w:rsidR="00463F25">
        <w:rPr>
          <w:rFonts w:ascii="Arial" w:hAnsi="Arial" w:cs="Arial"/>
          <w:iCs/>
        </w:rPr>
        <w:t>3</w:t>
      </w:r>
      <w:r w:rsidR="00877CB6" w:rsidRPr="005E6466">
        <w:rPr>
          <w:rFonts w:ascii="Arial" w:hAnsi="Arial" w:cs="Arial"/>
          <w:iCs/>
        </w:rPr>
        <w:t xml:space="preserve">, </w:t>
      </w:r>
      <w:r w:rsidR="00574052" w:rsidRPr="005E6466">
        <w:rPr>
          <w:rFonts w:ascii="Arial" w:hAnsi="Arial" w:cs="Arial"/>
          <w:iCs/>
        </w:rPr>
        <w:t xml:space="preserve">derivados </w:t>
      </w:r>
      <w:r w:rsidR="003912AF" w:rsidRPr="005E6466">
        <w:rPr>
          <w:rFonts w:ascii="Arial" w:hAnsi="Arial" w:cs="Arial"/>
          <w:iCs/>
        </w:rPr>
        <w:t xml:space="preserve">directamente por fuentes de carácter estatal, así como por la </w:t>
      </w:r>
      <w:r w:rsidR="003912AF" w:rsidRPr="005E6466">
        <w:rPr>
          <w:rFonts w:ascii="Arial" w:hAnsi="Arial" w:cs="Arial"/>
          <w:iCs/>
        </w:rPr>
        <w:lastRenderedPageBreak/>
        <w:t>transferencia de recursos provenientes del Gobierno Feder</w:t>
      </w:r>
      <w:r w:rsidR="00574052" w:rsidRPr="005E6466">
        <w:rPr>
          <w:rFonts w:ascii="Arial" w:hAnsi="Arial" w:cs="Arial"/>
          <w:iCs/>
        </w:rPr>
        <w:t>al para el ejercicio fiscal 2021</w:t>
      </w:r>
      <w:r w:rsidR="003912AF" w:rsidRPr="005E6466">
        <w:rPr>
          <w:rFonts w:ascii="Arial" w:hAnsi="Arial" w:cs="Arial"/>
          <w:iCs/>
        </w:rPr>
        <w:t xml:space="preserve">, </w:t>
      </w:r>
      <w:r w:rsidR="003912AF" w:rsidRPr="005E6466">
        <w:rPr>
          <w:rFonts w:ascii="Arial" w:hAnsi="Arial" w:cs="Arial"/>
        </w:rPr>
        <w:t xml:space="preserve">se ubican en </w:t>
      </w:r>
      <w:r w:rsidR="003912AF" w:rsidRPr="005E6466">
        <w:rPr>
          <w:rFonts w:ascii="Arial" w:hAnsi="Arial" w:cs="Arial"/>
          <w:b/>
        </w:rPr>
        <w:t>$</w:t>
      </w:r>
      <w:r w:rsidR="003912AF" w:rsidRPr="005E6466">
        <w:rPr>
          <w:rFonts w:ascii="Arial" w:hAnsi="Arial" w:cs="Arial"/>
          <w:b/>
          <w:bCs/>
        </w:rPr>
        <w:t>4</w:t>
      </w:r>
      <w:r w:rsidR="002017B0">
        <w:rPr>
          <w:rFonts w:ascii="Arial" w:hAnsi="Arial" w:cs="Arial"/>
          <w:b/>
          <w:bCs/>
        </w:rPr>
        <w:t>6</w:t>
      </w:r>
      <w:r w:rsidR="003912AF" w:rsidRPr="005E6466">
        <w:rPr>
          <w:rFonts w:ascii="Arial" w:hAnsi="Arial" w:cs="Arial"/>
          <w:b/>
          <w:bCs/>
        </w:rPr>
        <w:t>,</w:t>
      </w:r>
      <w:r w:rsidR="002017B0">
        <w:rPr>
          <w:rFonts w:ascii="Arial" w:hAnsi="Arial" w:cs="Arial"/>
          <w:b/>
          <w:bCs/>
        </w:rPr>
        <w:t>038</w:t>
      </w:r>
      <w:r w:rsidR="003912AF" w:rsidRPr="005E6466">
        <w:rPr>
          <w:rFonts w:ascii="Arial" w:hAnsi="Arial" w:cs="Arial"/>
          <w:b/>
          <w:bCs/>
        </w:rPr>
        <w:t>,</w:t>
      </w:r>
      <w:r w:rsidR="002017B0">
        <w:rPr>
          <w:rFonts w:ascii="Arial" w:hAnsi="Arial" w:cs="Arial"/>
          <w:b/>
          <w:bCs/>
        </w:rPr>
        <w:t>050</w:t>
      </w:r>
      <w:r w:rsidR="003912AF" w:rsidRPr="005E6466">
        <w:rPr>
          <w:rFonts w:ascii="Arial" w:hAnsi="Arial" w:cs="Arial"/>
          <w:b/>
          <w:bCs/>
        </w:rPr>
        <w:t>,</w:t>
      </w:r>
      <w:r w:rsidR="002017B0">
        <w:rPr>
          <w:rFonts w:ascii="Arial" w:hAnsi="Arial" w:cs="Arial"/>
          <w:b/>
          <w:bCs/>
        </w:rPr>
        <w:t>321</w:t>
      </w:r>
      <w:r w:rsidR="003912AF" w:rsidRPr="005E6466">
        <w:rPr>
          <w:rFonts w:ascii="Arial" w:hAnsi="Arial" w:cs="Arial"/>
          <w:b/>
          <w:bCs/>
        </w:rPr>
        <w:t xml:space="preserve">.00 </w:t>
      </w:r>
      <w:r w:rsidR="003912AF" w:rsidRPr="005E6466">
        <w:rPr>
          <w:rFonts w:ascii="Arial" w:hAnsi="Arial" w:cs="Arial"/>
        </w:rPr>
        <w:t xml:space="preserve">de los cuales </w:t>
      </w:r>
      <w:r w:rsidR="003912AF" w:rsidRPr="005E6466">
        <w:rPr>
          <w:rFonts w:ascii="Arial" w:hAnsi="Arial" w:cs="Arial"/>
          <w:b/>
        </w:rPr>
        <w:t>$2,</w:t>
      </w:r>
      <w:r w:rsidR="002017B0">
        <w:rPr>
          <w:rFonts w:ascii="Arial" w:hAnsi="Arial" w:cs="Arial"/>
          <w:b/>
        </w:rPr>
        <w:t>785</w:t>
      </w:r>
      <w:r w:rsidR="009D6669" w:rsidRPr="005E6466">
        <w:rPr>
          <w:rFonts w:ascii="Arial" w:hAnsi="Arial" w:cs="Arial"/>
          <w:b/>
        </w:rPr>
        <w:t>,</w:t>
      </w:r>
      <w:r w:rsidR="002017B0">
        <w:rPr>
          <w:rFonts w:ascii="Arial" w:hAnsi="Arial" w:cs="Arial"/>
          <w:b/>
        </w:rPr>
        <w:t>616</w:t>
      </w:r>
      <w:r w:rsidR="009D6669" w:rsidRPr="005E6466">
        <w:rPr>
          <w:rFonts w:ascii="Arial" w:hAnsi="Arial" w:cs="Arial"/>
          <w:b/>
        </w:rPr>
        <w:t>,</w:t>
      </w:r>
      <w:r w:rsidR="002017B0">
        <w:rPr>
          <w:rFonts w:ascii="Arial" w:hAnsi="Arial" w:cs="Arial"/>
          <w:b/>
        </w:rPr>
        <w:t>196</w:t>
      </w:r>
      <w:r w:rsidR="003912AF" w:rsidRPr="005E6466">
        <w:rPr>
          <w:rFonts w:ascii="Arial" w:hAnsi="Arial" w:cs="Arial"/>
          <w:b/>
        </w:rPr>
        <w:t>.00</w:t>
      </w:r>
      <w:r w:rsidR="003912AF" w:rsidRPr="005E6466">
        <w:rPr>
          <w:rFonts w:ascii="Arial" w:hAnsi="Arial" w:cs="Arial"/>
        </w:rPr>
        <w:t xml:space="preserve"> serán captados a través de impuestos; </w:t>
      </w:r>
      <w:r w:rsidR="003912AF" w:rsidRPr="005E6466">
        <w:rPr>
          <w:rFonts w:ascii="Arial" w:hAnsi="Arial" w:cs="Arial"/>
          <w:b/>
        </w:rPr>
        <w:t>$</w:t>
      </w:r>
      <w:r w:rsidR="00E063BE" w:rsidRPr="005E6466">
        <w:rPr>
          <w:rFonts w:ascii="Arial" w:hAnsi="Arial" w:cs="Arial"/>
          <w:b/>
        </w:rPr>
        <w:t>1</w:t>
      </w:r>
      <w:r w:rsidR="003912AF" w:rsidRPr="005E6466">
        <w:rPr>
          <w:rFonts w:ascii="Arial" w:hAnsi="Arial" w:cs="Arial"/>
          <w:b/>
        </w:rPr>
        <w:t>,</w:t>
      </w:r>
      <w:r w:rsidR="002017B0">
        <w:rPr>
          <w:rFonts w:ascii="Arial" w:hAnsi="Arial" w:cs="Arial"/>
          <w:b/>
        </w:rPr>
        <w:t>722</w:t>
      </w:r>
      <w:r w:rsidR="003912AF" w:rsidRPr="005E6466">
        <w:rPr>
          <w:rFonts w:ascii="Arial" w:hAnsi="Arial" w:cs="Arial"/>
          <w:b/>
        </w:rPr>
        <w:t>,</w:t>
      </w:r>
      <w:r w:rsidR="002017B0">
        <w:rPr>
          <w:rFonts w:ascii="Arial" w:hAnsi="Arial" w:cs="Arial"/>
          <w:b/>
        </w:rPr>
        <w:t>038</w:t>
      </w:r>
      <w:r w:rsidR="003912AF" w:rsidRPr="005E6466">
        <w:rPr>
          <w:rFonts w:ascii="Arial" w:hAnsi="Arial" w:cs="Arial"/>
          <w:b/>
        </w:rPr>
        <w:t>,</w:t>
      </w:r>
      <w:r w:rsidR="002017B0">
        <w:rPr>
          <w:rFonts w:ascii="Arial" w:hAnsi="Arial" w:cs="Arial"/>
          <w:b/>
        </w:rPr>
        <w:t>175</w:t>
      </w:r>
      <w:r w:rsidR="003912AF" w:rsidRPr="005E6466">
        <w:rPr>
          <w:rFonts w:ascii="Arial" w:hAnsi="Arial" w:cs="Arial"/>
          <w:b/>
        </w:rPr>
        <w:t>.00</w:t>
      </w:r>
      <w:r w:rsidR="003912AF" w:rsidRPr="005E6466">
        <w:rPr>
          <w:rFonts w:ascii="Arial" w:hAnsi="Arial" w:cs="Arial"/>
        </w:rPr>
        <w:t xml:space="preserve"> corresponden a derechos; </w:t>
      </w:r>
      <w:r w:rsidR="003912AF" w:rsidRPr="005E6466">
        <w:rPr>
          <w:rFonts w:ascii="Arial" w:hAnsi="Arial" w:cs="Arial"/>
          <w:b/>
        </w:rPr>
        <w:t>$</w:t>
      </w:r>
      <w:r w:rsidR="002017B0">
        <w:rPr>
          <w:rFonts w:ascii="Arial" w:hAnsi="Arial" w:cs="Arial"/>
          <w:b/>
        </w:rPr>
        <w:t>323</w:t>
      </w:r>
      <w:r w:rsidR="003912AF" w:rsidRPr="005E6466">
        <w:rPr>
          <w:rFonts w:ascii="Arial" w:hAnsi="Arial" w:cs="Arial"/>
          <w:b/>
        </w:rPr>
        <w:t>,</w:t>
      </w:r>
      <w:r w:rsidR="002017B0">
        <w:rPr>
          <w:rFonts w:ascii="Arial" w:hAnsi="Arial" w:cs="Arial"/>
          <w:b/>
        </w:rPr>
        <w:t>996</w:t>
      </w:r>
      <w:r w:rsidR="003912AF" w:rsidRPr="005E6466">
        <w:rPr>
          <w:rFonts w:ascii="Arial" w:hAnsi="Arial" w:cs="Arial"/>
          <w:b/>
        </w:rPr>
        <w:t>,</w:t>
      </w:r>
      <w:r w:rsidR="002017B0">
        <w:rPr>
          <w:rFonts w:ascii="Arial" w:hAnsi="Arial" w:cs="Arial"/>
          <w:b/>
        </w:rPr>
        <w:t>640</w:t>
      </w:r>
      <w:r w:rsidR="003912AF" w:rsidRPr="005E6466">
        <w:rPr>
          <w:rFonts w:ascii="Arial" w:hAnsi="Arial" w:cs="Arial"/>
          <w:b/>
        </w:rPr>
        <w:t>.00</w:t>
      </w:r>
      <w:r w:rsidR="003912AF" w:rsidRPr="005E6466">
        <w:rPr>
          <w:rFonts w:ascii="Arial" w:hAnsi="Arial" w:cs="Arial"/>
        </w:rPr>
        <w:t xml:space="preserve"> a productos; </w:t>
      </w:r>
      <w:r w:rsidR="003912AF" w:rsidRPr="005E6466">
        <w:rPr>
          <w:rFonts w:ascii="Arial" w:hAnsi="Arial" w:cs="Arial"/>
          <w:b/>
        </w:rPr>
        <w:t>$</w:t>
      </w:r>
      <w:r w:rsidR="002017B0">
        <w:rPr>
          <w:rFonts w:ascii="Arial" w:hAnsi="Arial" w:cs="Arial"/>
          <w:b/>
        </w:rPr>
        <w:t>279</w:t>
      </w:r>
      <w:r w:rsidR="003912AF" w:rsidRPr="005E6466">
        <w:rPr>
          <w:rFonts w:ascii="Arial" w:hAnsi="Arial" w:cs="Arial"/>
          <w:b/>
        </w:rPr>
        <w:t>,</w:t>
      </w:r>
      <w:r w:rsidR="002017B0">
        <w:rPr>
          <w:rFonts w:ascii="Arial" w:hAnsi="Arial" w:cs="Arial"/>
          <w:b/>
        </w:rPr>
        <w:t>105</w:t>
      </w:r>
      <w:r w:rsidR="003912AF" w:rsidRPr="005E6466">
        <w:rPr>
          <w:rFonts w:ascii="Arial" w:hAnsi="Arial" w:cs="Arial"/>
          <w:b/>
        </w:rPr>
        <w:t>,</w:t>
      </w:r>
      <w:r w:rsidR="002017B0">
        <w:rPr>
          <w:rFonts w:ascii="Arial" w:hAnsi="Arial" w:cs="Arial"/>
          <w:b/>
        </w:rPr>
        <w:t>662</w:t>
      </w:r>
      <w:r w:rsidR="003912AF" w:rsidRPr="005E6466">
        <w:rPr>
          <w:rFonts w:ascii="Arial" w:hAnsi="Arial" w:cs="Arial"/>
          <w:b/>
        </w:rPr>
        <w:t>.00</w:t>
      </w:r>
      <w:r w:rsidR="003912AF" w:rsidRPr="005E6466">
        <w:rPr>
          <w:rFonts w:ascii="Arial" w:hAnsi="Arial" w:cs="Arial"/>
        </w:rPr>
        <w:t xml:space="preserve"> a los aprovechamientos; </w:t>
      </w:r>
      <w:r w:rsidR="006267F7" w:rsidRPr="005E6466">
        <w:rPr>
          <w:rFonts w:ascii="Arial" w:hAnsi="Arial" w:cs="Arial"/>
          <w:b/>
        </w:rPr>
        <w:t>$</w:t>
      </w:r>
      <w:r w:rsidR="002017B0">
        <w:rPr>
          <w:rFonts w:ascii="Arial" w:hAnsi="Arial" w:cs="Arial"/>
          <w:b/>
        </w:rPr>
        <w:t>2</w:t>
      </w:r>
      <w:r w:rsidR="006267F7" w:rsidRPr="005E6466">
        <w:rPr>
          <w:rFonts w:ascii="Arial" w:hAnsi="Arial" w:cs="Arial"/>
          <w:b/>
        </w:rPr>
        <w:t>,</w:t>
      </w:r>
      <w:r w:rsidR="002017B0">
        <w:rPr>
          <w:rFonts w:ascii="Arial" w:hAnsi="Arial" w:cs="Arial"/>
          <w:b/>
        </w:rPr>
        <w:t>026</w:t>
      </w:r>
      <w:r w:rsidR="006267F7" w:rsidRPr="005E6466">
        <w:rPr>
          <w:rFonts w:ascii="Arial" w:hAnsi="Arial" w:cs="Arial"/>
          <w:b/>
        </w:rPr>
        <w:t>,</w:t>
      </w:r>
      <w:r w:rsidR="002017B0">
        <w:rPr>
          <w:rFonts w:ascii="Arial" w:hAnsi="Arial" w:cs="Arial"/>
          <w:b/>
        </w:rPr>
        <w:t>363</w:t>
      </w:r>
      <w:r w:rsidR="006267F7" w:rsidRPr="005E6466">
        <w:rPr>
          <w:rFonts w:ascii="Arial" w:hAnsi="Arial" w:cs="Arial"/>
          <w:b/>
        </w:rPr>
        <w:t>,</w:t>
      </w:r>
      <w:r w:rsidR="002017B0">
        <w:rPr>
          <w:rFonts w:ascii="Arial" w:hAnsi="Arial" w:cs="Arial"/>
          <w:b/>
        </w:rPr>
        <w:t>842</w:t>
      </w:r>
      <w:r w:rsidR="006267F7" w:rsidRPr="005E6466">
        <w:rPr>
          <w:rFonts w:ascii="Arial" w:hAnsi="Arial" w:cs="Arial"/>
          <w:b/>
        </w:rPr>
        <w:t>.00</w:t>
      </w:r>
      <w:r w:rsidR="006267F7" w:rsidRPr="005E6466">
        <w:rPr>
          <w:rFonts w:ascii="Arial" w:hAnsi="Arial" w:cs="Arial"/>
        </w:rPr>
        <w:t xml:space="preserve"> </w:t>
      </w:r>
      <w:r w:rsidR="00865C95" w:rsidRPr="005E6466">
        <w:rPr>
          <w:rFonts w:ascii="Arial" w:hAnsi="Arial" w:cs="Arial"/>
        </w:rPr>
        <w:t xml:space="preserve">a los ingresos por venta de bienes y servicios, </w:t>
      </w:r>
      <w:r w:rsidR="003912AF" w:rsidRPr="005E6466">
        <w:rPr>
          <w:rFonts w:ascii="Arial" w:hAnsi="Arial" w:cs="Arial"/>
          <w:b/>
        </w:rPr>
        <w:t>$3</w:t>
      </w:r>
      <w:r w:rsidR="002017B0">
        <w:rPr>
          <w:rFonts w:ascii="Arial" w:hAnsi="Arial" w:cs="Arial"/>
          <w:b/>
        </w:rPr>
        <w:t>5</w:t>
      </w:r>
      <w:r w:rsidR="003912AF" w:rsidRPr="005E6466">
        <w:rPr>
          <w:rFonts w:ascii="Arial" w:hAnsi="Arial" w:cs="Arial"/>
          <w:b/>
        </w:rPr>
        <w:t>,</w:t>
      </w:r>
      <w:r w:rsidR="002017B0">
        <w:rPr>
          <w:rFonts w:ascii="Arial" w:hAnsi="Arial" w:cs="Arial"/>
          <w:b/>
        </w:rPr>
        <w:t>350</w:t>
      </w:r>
      <w:r w:rsidR="003912AF" w:rsidRPr="005E6466">
        <w:rPr>
          <w:rFonts w:ascii="Arial" w:hAnsi="Arial" w:cs="Arial"/>
          <w:b/>
        </w:rPr>
        <w:t>,</w:t>
      </w:r>
      <w:r w:rsidR="002017B0">
        <w:rPr>
          <w:rFonts w:ascii="Arial" w:hAnsi="Arial" w:cs="Arial"/>
          <w:b/>
        </w:rPr>
        <w:t>884</w:t>
      </w:r>
      <w:r w:rsidR="00DA0EAD" w:rsidRPr="005E6466">
        <w:rPr>
          <w:rFonts w:ascii="Arial" w:hAnsi="Arial" w:cs="Arial"/>
          <w:b/>
        </w:rPr>
        <w:t>,</w:t>
      </w:r>
      <w:r w:rsidR="002017B0">
        <w:rPr>
          <w:rFonts w:ascii="Arial" w:hAnsi="Arial" w:cs="Arial"/>
          <w:b/>
        </w:rPr>
        <w:t>840</w:t>
      </w:r>
      <w:r w:rsidR="003912AF" w:rsidRPr="005E6466">
        <w:rPr>
          <w:rFonts w:ascii="Arial" w:hAnsi="Arial" w:cs="Arial"/>
          <w:b/>
        </w:rPr>
        <w:t>.00</w:t>
      </w:r>
      <w:r w:rsidR="003912AF" w:rsidRPr="005E6466">
        <w:rPr>
          <w:rFonts w:ascii="Arial" w:hAnsi="Arial" w:cs="Arial"/>
        </w:rPr>
        <w:t xml:space="preserve"> a participaciones, aportaciones, convenios e incentivos; y, </w:t>
      </w:r>
      <w:r w:rsidR="003912AF" w:rsidRPr="005E6466">
        <w:rPr>
          <w:rFonts w:ascii="Arial" w:hAnsi="Arial" w:cs="Arial"/>
          <w:b/>
        </w:rPr>
        <w:t>$2,</w:t>
      </w:r>
      <w:r w:rsidR="002017B0">
        <w:rPr>
          <w:rFonts w:ascii="Arial" w:hAnsi="Arial" w:cs="Arial"/>
          <w:b/>
        </w:rPr>
        <w:t>174</w:t>
      </w:r>
      <w:r w:rsidR="003912AF" w:rsidRPr="005E6466">
        <w:rPr>
          <w:rFonts w:ascii="Arial" w:hAnsi="Arial" w:cs="Arial"/>
          <w:b/>
        </w:rPr>
        <w:t>,</w:t>
      </w:r>
      <w:r w:rsidR="002017B0">
        <w:rPr>
          <w:rFonts w:ascii="Arial" w:hAnsi="Arial" w:cs="Arial"/>
          <w:b/>
        </w:rPr>
        <w:t>094</w:t>
      </w:r>
      <w:r w:rsidR="003912AF" w:rsidRPr="005E6466">
        <w:rPr>
          <w:rFonts w:ascii="Arial" w:hAnsi="Arial" w:cs="Arial"/>
          <w:b/>
        </w:rPr>
        <w:t>,</w:t>
      </w:r>
      <w:r w:rsidR="002017B0">
        <w:rPr>
          <w:rFonts w:ascii="Arial" w:hAnsi="Arial" w:cs="Arial"/>
          <w:b/>
        </w:rPr>
        <w:t>546</w:t>
      </w:r>
      <w:r w:rsidR="003912AF" w:rsidRPr="005E6466">
        <w:rPr>
          <w:rFonts w:ascii="Arial" w:hAnsi="Arial" w:cs="Arial"/>
          <w:b/>
        </w:rPr>
        <w:t>.00</w:t>
      </w:r>
      <w:r w:rsidR="003912AF" w:rsidRPr="005E6466">
        <w:rPr>
          <w:rFonts w:ascii="Arial" w:hAnsi="Arial" w:cs="Arial"/>
        </w:rPr>
        <w:t xml:space="preserve"> a transferencias, asignaciones, subsidios y otras ayudas. </w:t>
      </w:r>
    </w:p>
    <w:p w:rsidR="003912AF" w:rsidRPr="005E6466" w:rsidRDefault="003912AF" w:rsidP="00463F25">
      <w:pPr>
        <w:spacing w:line="360" w:lineRule="auto"/>
        <w:ind w:firstLine="709"/>
        <w:jc w:val="both"/>
        <w:rPr>
          <w:rFonts w:ascii="Arial" w:hAnsi="Arial" w:cs="Arial"/>
        </w:rPr>
      </w:pPr>
    </w:p>
    <w:p w:rsidR="00463F25" w:rsidRDefault="003912AF" w:rsidP="00463F25">
      <w:pPr>
        <w:suppressAutoHyphens/>
        <w:spacing w:line="360" w:lineRule="auto"/>
        <w:jc w:val="both"/>
        <w:rPr>
          <w:rFonts w:ascii="Arial" w:hAnsi="Arial" w:cs="Arial"/>
        </w:rPr>
      </w:pPr>
      <w:r w:rsidRPr="005E6466">
        <w:rPr>
          <w:rFonts w:ascii="Arial" w:hAnsi="Arial" w:cs="Arial"/>
        </w:rPr>
        <w:tab/>
        <w:t xml:space="preserve">El proyecto de </w:t>
      </w:r>
      <w:r w:rsidRPr="005E6466">
        <w:rPr>
          <w:rFonts w:ascii="Arial" w:hAnsi="Arial" w:cs="Arial"/>
          <w:lang w:val="es-MX"/>
        </w:rPr>
        <w:t xml:space="preserve">Ley de Ingresos del Estado de Yucatán, para el </w:t>
      </w:r>
      <w:r w:rsidR="00397435" w:rsidRPr="005E6466">
        <w:rPr>
          <w:rFonts w:ascii="Arial" w:hAnsi="Arial" w:cs="Arial"/>
          <w:lang w:val="es-MX"/>
        </w:rPr>
        <w:t>E</w:t>
      </w:r>
      <w:r w:rsidRPr="005E6466">
        <w:rPr>
          <w:rFonts w:ascii="Arial" w:hAnsi="Arial" w:cs="Arial"/>
          <w:lang w:val="es-MX"/>
        </w:rPr>
        <w:t xml:space="preserve">jercicio </w:t>
      </w:r>
      <w:r w:rsidR="00397435" w:rsidRPr="005E6466">
        <w:rPr>
          <w:rFonts w:ascii="Arial" w:hAnsi="Arial" w:cs="Arial"/>
          <w:lang w:val="es-MX"/>
        </w:rPr>
        <w:t>Fiscal 202</w:t>
      </w:r>
      <w:r w:rsidR="00463F25">
        <w:rPr>
          <w:rFonts w:ascii="Arial" w:hAnsi="Arial" w:cs="Arial"/>
          <w:lang w:val="es-MX"/>
        </w:rPr>
        <w:t>2</w:t>
      </w:r>
      <w:r w:rsidRPr="005E6466">
        <w:rPr>
          <w:rFonts w:ascii="Arial" w:hAnsi="Arial" w:cs="Arial"/>
          <w:lang w:val="es-MX"/>
        </w:rPr>
        <w:t xml:space="preserve">, </w:t>
      </w:r>
      <w:r w:rsidR="00463F25" w:rsidRPr="00085C30">
        <w:rPr>
          <w:rFonts w:ascii="Arial" w:hAnsi="Arial" w:cs="Arial"/>
        </w:rPr>
        <w:t>se conforma por treinta y dos artículos, divididos en cuatro capítulos. El capítulo I, denominado “Ingresos”, es el más relevante del documento y establece la estimación de los ingresos que el Gobierno del estado, en todos sus ámbitos, considera obtener para el ejercicio fiscal 2022. El capítulo II, denominado “Recaudaci</w:t>
      </w:r>
      <w:r w:rsidR="004A6631">
        <w:rPr>
          <w:rFonts w:ascii="Arial" w:hAnsi="Arial" w:cs="Arial"/>
        </w:rPr>
        <w:t>ón y concentración de ingresos”</w:t>
      </w:r>
      <w:r w:rsidR="00463F25" w:rsidRPr="00085C30">
        <w:rPr>
          <w:rFonts w:ascii="Arial" w:hAnsi="Arial" w:cs="Arial"/>
        </w:rPr>
        <w:t xml:space="preserve">. El capítulo III, denominado “Sujetos públicos obligados. El capítulo IV, denominado “Facilidades a los contribuyentes. Finalmente, se incluyen </w:t>
      </w:r>
      <w:r w:rsidR="004A6631">
        <w:rPr>
          <w:rFonts w:ascii="Arial" w:hAnsi="Arial" w:cs="Arial"/>
        </w:rPr>
        <w:t xml:space="preserve">los </w:t>
      </w:r>
      <w:r w:rsidR="00463F25" w:rsidRPr="00085C30">
        <w:rPr>
          <w:rFonts w:ascii="Arial" w:hAnsi="Arial" w:cs="Arial"/>
        </w:rPr>
        <w:t>artículos transitorios con disposiciones que permitirán una efectiva entrada en vigor y aplicación de la ley.</w:t>
      </w:r>
    </w:p>
    <w:p w:rsidR="00463F25" w:rsidRDefault="00463F25" w:rsidP="00463F25">
      <w:pPr>
        <w:suppressAutoHyphens/>
        <w:spacing w:line="360" w:lineRule="auto"/>
        <w:jc w:val="both"/>
        <w:rPr>
          <w:rFonts w:ascii="Arial" w:hAnsi="Arial" w:cs="Arial"/>
        </w:rPr>
      </w:pPr>
    </w:p>
    <w:p w:rsidR="00463F25" w:rsidRPr="005E6466" w:rsidRDefault="00463F25" w:rsidP="00463F25">
      <w:pPr>
        <w:spacing w:line="360" w:lineRule="auto"/>
        <w:ind w:firstLine="720"/>
        <w:jc w:val="both"/>
        <w:rPr>
          <w:rFonts w:ascii="Arial" w:hAnsi="Arial" w:cs="Arial"/>
        </w:rPr>
      </w:pPr>
      <w:r w:rsidRPr="005E6466">
        <w:rPr>
          <w:rFonts w:ascii="Arial" w:hAnsi="Arial" w:cs="Arial"/>
          <w:lang w:val="es-MX"/>
        </w:rPr>
        <w:t xml:space="preserve">El </w:t>
      </w:r>
      <w:r w:rsidRPr="005E6466">
        <w:rPr>
          <w:rFonts w:ascii="Arial" w:hAnsi="Arial" w:cs="Arial"/>
        </w:rPr>
        <w:t>Capítulo I denominado “Ingresos” es el más relevante del documento y establece la estimación de los ingresos, que el Gobierno del estado en todos sus ámbitos considera obten</w:t>
      </w:r>
      <w:r w:rsidR="007959A7">
        <w:rPr>
          <w:rFonts w:ascii="Arial" w:hAnsi="Arial" w:cs="Arial"/>
        </w:rPr>
        <w:t>er para el ejercicio fiscal 2022</w:t>
      </w:r>
      <w:r w:rsidRPr="005E6466">
        <w:rPr>
          <w:rFonts w:ascii="Arial" w:hAnsi="Arial" w:cs="Arial"/>
        </w:rPr>
        <w:t>.</w:t>
      </w:r>
    </w:p>
    <w:p w:rsidR="00463F25" w:rsidRPr="005E6466" w:rsidRDefault="00463F25" w:rsidP="00463F25">
      <w:pPr>
        <w:spacing w:line="360" w:lineRule="auto"/>
        <w:ind w:firstLine="720"/>
        <w:jc w:val="both"/>
        <w:rPr>
          <w:rFonts w:ascii="Arial" w:hAnsi="Arial" w:cs="Arial"/>
          <w:lang w:val="es-MX"/>
        </w:rPr>
      </w:pPr>
    </w:p>
    <w:p w:rsidR="00463F25" w:rsidRPr="005E6466" w:rsidRDefault="00463F25" w:rsidP="00463F25">
      <w:pPr>
        <w:spacing w:line="360" w:lineRule="auto"/>
        <w:ind w:firstLine="720"/>
        <w:jc w:val="both"/>
        <w:rPr>
          <w:rFonts w:ascii="Arial" w:hAnsi="Arial" w:cs="Arial"/>
        </w:rPr>
      </w:pPr>
      <w:r w:rsidRPr="005E6466">
        <w:rPr>
          <w:rFonts w:ascii="Arial" w:hAnsi="Arial" w:cs="Arial"/>
          <w:lang w:val="es-MX"/>
        </w:rPr>
        <w:t xml:space="preserve">El </w:t>
      </w:r>
      <w:r w:rsidRPr="005E6466">
        <w:rPr>
          <w:rFonts w:ascii="Arial" w:hAnsi="Arial" w:cs="Arial"/>
        </w:rPr>
        <w:t>Capítulo II denominado “Recaudación y concentración de ingresos”, refiere a la manera en que se hará la recaudación y cómo se concentrarán los recursos públicos del estado por diversos rubros.</w:t>
      </w:r>
    </w:p>
    <w:p w:rsidR="00463F25" w:rsidRPr="005E6466" w:rsidRDefault="00463F25" w:rsidP="00463F25">
      <w:pPr>
        <w:spacing w:line="360" w:lineRule="auto"/>
        <w:ind w:firstLine="720"/>
        <w:jc w:val="both"/>
        <w:rPr>
          <w:rFonts w:ascii="Arial" w:hAnsi="Arial" w:cs="Arial"/>
          <w:iCs/>
          <w:lang w:val="es-MX"/>
        </w:rPr>
      </w:pPr>
    </w:p>
    <w:p w:rsidR="00463F25" w:rsidRPr="005E6466" w:rsidRDefault="00463F25" w:rsidP="00463F25">
      <w:pPr>
        <w:spacing w:line="360" w:lineRule="auto"/>
        <w:jc w:val="both"/>
        <w:rPr>
          <w:rFonts w:ascii="Arial" w:hAnsi="Arial" w:cs="Arial"/>
        </w:rPr>
      </w:pPr>
      <w:r w:rsidRPr="005E6466">
        <w:rPr>
          <w:rFonts w:ascii="Arial" w:hAnsi="Arial" w:cs="Arial"/>
        </w:rPr>
        <w:lastRenderedPageBreak/>
        <w:tab/>
        <w:t xml:space="preserve">El Capítulo III, denominado “Sujetos públicos obligados”, únicamente contiene un artículo que refiere a los sujetos públicos obligados al pago de contribuciones. </w:t>
      </w:r>
    </w:p>
    <w:p w:rsidR="00463F25" w:rsidRPr="005E6466" w:rsidRDefault="00463F25" w:rsidP="00463F25">
      <w:pPr>
        <w:spacing w:line="360" w:lineRule="auto"/>
        <w:jc w:val="both"/>
        <w:rPr>
          <w:rFonts w:ascii="Arial" w:hAnsi="Arial" w:cs="Arial"/>
        </w:rPr>
      </w:pPr>
    </w:p>
    <w:p w:rsidR="00463F25" w:rsidRPr="005E6466" w:rsidRDefault="00463F25" w:rsidP="00463F25">
      <w:pPr>
        <w:spacing w:line="360" w:lineRule="auto"/>
        <w:ind w:firstLine="708"/>
        <w:jc w:val="both"/>
        <w:rPr>
          <w:rFonts w:ascii="Arial" w:hAnsi="Arial" w:cs="Arial"/>
        </w:rPr>
      </w:pPr>
      <w:r w:rsidRPr="005E6466">
        <w:rPr>
          <w:rFonts w:ascii="Arial" w:hAnsi="Arial" w:cs="Arial"/>
        </w:rPr>
        <w:t xml:space="preserve">El Capítulo IV, denominado “Facilidades a los contribuyentes”, señala las herramientas y los mecanismos encaminados a facilitar el correcto y responsable cumplimiento de las obligaciones tributarias. Por último, como se ha referido se incluyen los </w:t>
      </w:r>
      <w:r w:rsidR="004A6631">
        <w:rPr>
          <w:rFonts w:ascii="Arial" w:hAnsi="Arial" w:cs="Arial"/>
        </w:rPr>
        <w:t xml:space="preserve">cinco </w:t>
      </w:r>
      <w:r w:rsidRPr="005E6466">
        <w:rPr>
          <w:rFonts w:ascii="Arial" w:hAnsi="Arial" w:cs="Arial"/>
        </w:rPr>
        <w:t xml:space="preserve">artículos transitorios necesarios para la efectiva aplicación de la ley. </w:t>
      </w:r>
    </w:p>
    <w:p w:rsidR="00463F25" w:rsidRPr="005E6466" w:rsidRDefault="00463F25" w:rsidP="00463F25">
      <w:pPr>
        <w:spacing w:line="360" w:lineRule="auto"/>
        <w:ind w:firstLine="708"/>
        <w:jc w:val="both"/>
        <w:rPr>
          <w:rFonts w:ascii="Arial" w:hAnsi="Arial" w:cs="Arial"/>
        </w:rPr>
      </w:pPr>
    </w:p>
    <w:p w:rsidR="007A0B9A" w:rsidRDefault="003E5208" w:rsidP="001732BC">
      <w:pPr>
        <w:spacing w:line="360" w:lineRule="auto"/>
        <w:ind w:firstLine="708"/>
        <w:jc w:val="both"/>
        <w:rPr>
          <w:rFonts w:ascii="Arial" w:hAnsi="Arial" w:cs="Arial"/>
        </w:rPr>
      </w:pPr>
      <w:r w:rsidRPr="005E6466">
        <w:rPr>
          <w:rFonts w:ascii="Arial" w:hAnsi="Arial" w:cs="Arial"/>
          <w:b/>
        </w:rPr>
        <w:t xml:space="preserve">QUINTO. </w:t>
      </w:r>
      <w:r w:rsidR="00276E0D" w:rsidRPr="005E6466">
        <w:rPr>
          <w:rFonts w:ascii="Arial" w:hAnsi="Arial" w:cs="Arial"/>
        </w:rPr>
        <w:t xml:space="preserve">Por otra parte, </w:t>
      </w:r>
      <w:r w:rsidR="002017B0">
        <w:rPr>
          <w:rFonts w:ascii="Arial" w:hAnsi="Arial" w:cs="Arial"/>
        </w:rPr>
        <w:t>conformidad con</w:t>
      </w:r>
      <w:r w:rsidR="002017B0" w:rsidRPr="00D93F7E">
        <w:rPr>
          <w:rFonts w:ascii="Arial" w:hAnsi="Arial" w:cs="Arial"/>
        </w:rPr>
        <w:t xml:space="preserve"> lo establecido en el artículo 52, fracción V, de la Ley del Presupuesto y Contabilidad Gubernamental del Estado de Yucatán</w:t>
      </w:r>
      <w:r w:rsidR="002017B0">
        <w:rPr>
          <w:rFonts w:ascii="Arial" w:hAnsi="Arial" w:cs="Arial"/>
        </w:rPr>
        <w:t>,</w:t>
      </w:r>
      <w:r w:rsidR="002017B0" w:rsidRPr="00D93F7E">
        <w:rPr>
          <w:rFonts w:ascii="Arial" w:hAnsi="Arial" w:cs="Arial"/>
        </w:rPr>
        <w:t xml:space="preserve"> para el programa de financiamiento 2022</w:t>
      </w:r>
      <w:r w:rsidR="002017B0">
        <w:rPr>
          <w:rFonts w:ascii="Arial" w:hAnsi="Arial" w:cs="Arial"/>
        </w:rPr>
        <w:t>,</w:t>
      </w:r>
      <w:r w:rsidR="002017B0" w:rsidRPr="00D93F7E">
        <w:rPr>
          <w:rFonts w:ascii="Arial" w:hAnsi="Arial" w:cs="Arial"/>
        </w:rPr>
        <w:t xml:space="preserve"> la estimación de las amortizaciones y el costo del servicio de la deuda de largo plazo que se cubrirán durante el ejercicio fiscal 2022 es de $65</w:t>
      </w:r>
      <w:proofErr w:type="gramStart"/>
      <w:r w:rsidR="002017B0" w:rsidRPr="00D93F7E">
        <w:rPr>
          <w:rFonts w:ascii="Arial" w:hAnsi="Arial" w:cs="Arial"/>
        </w:rPr>
        <w:t>,946,307.00</w:t>
      </w:r>
      <w:proofErr w:type="gramEnd"/>
      <w:r w:rsidR="002017B0" w:rsidRPr="00D93F7E">
        <w:rPr>
          <w:rFonts w:ascii="Arial" w:hAnsi="Arial" w:cs="Arial"/>
        </w:rPr>
        <w:t xml:space="preserve"> y de $455,601,172.00, respectivamente. L</w:t>
      </w:r>
      <w:r w:rsidR="002017B0">
        <w:rPr>
          <w:rFonts w:ascii="Arial" w:hAnsi="Arial" w:cs="Arial"/>
        </w:rPr>
        <w:t>as cifras señaladas</w:t>
      </w:r>
      <w:r w:rsidR="002017B0" w:rsidRPr="00D93F7E">
        <w:rPr>
          <w:rFonts w:ascii="Arial" w:hAnsi="Arial" w:cs="Arial"/>
        </w:rPr>
        <w:t xml:space="preserve"> corresponden a los cinco financiamientos de largo plazo vigentes identificados con las siguientes claves de inscripción en el Registro Público Único de Financiamientos y Obligaciones de Entidades Federativas y Municipios a cargo de la Secretaría de Hacienda y Crédito Público: P31-0413037, P31-1119054, P31-1020086, P31-1020087 y P31-1020088</w:t>
      </w:r>
      <w:r w:rsidR="002017B0">
        <w:rPr>
          <w:rFonts w:ascii="Arial" w:hAnsi="Arial" w:cs="Arial"/>
        </w:rPr>
        <w:t>.</w:t>
      </w:r>
    </w:p>
    <w:p w:rsidR="007A0B9A" w:rsidRPr="005E6466" w:rsidRDefault="007A0B9A" w:rsidP="001732BC">
      <w:pPr>
        <w:spacing w:line="360" w:lineRule="auto"/>
        <w:ind w:firstLine="708"/>
        <w:jc w:val="both"/>
        <w:rPr>
          <w:rFonts w:ascii="Arial" w:hAnsi="Arial" w:cs="Arial"/>
        </w:rPr>
      </w:pPr>
    </w:p>
    <w:p w:rsidR="001732BC" w:rsidRDefault="00CE18BB" w:rsidP="001732BC">
      <w:pPr>
        <w:spacing w:line="360" w:lineRule="auto"/>
        <w:ind w:firstLine="708"/>
        <w:jc w:val="both"/>
        <w:rPr>
          <w:rFonts w:ascii="Arial" w:hAnsi="Arial" w:cs="Arial"/>
        </w:rPr>
      </w:pPr>
      <w:r w:rsidRPr="005E6466">
        <w:rPr>
          <w:rFonts w:ascii="Arial" w:hAnsi="Arial" w:cs="Arial"/>
        </w:rPr>
        <w:t xml:space="preserve">Es preciso indicar que lo anterior, es parte del procedimiento que se viene realizando, de acuerdo a la autorización otorgada </w:t>
      </w:r>
      <w:r w:rsidR="00A11A4A" w:rsidRPr="005E6466">
        <w:rPr>
          <w:rFonts w:ascii="Arial" w:hAnsi="Arial" w:cs="Arial"/>
        </w:rPr>
        <w:t>en el artículo 5 de la Ley de Ingresos del Estado de Yucatán para el Ejercicio Fiscal 202</w:t>
      </w:r>
      <w:r w:rsidR="007959A7">
        <w:rPr>
          <w:rFonts w:ascii="Arial" w:hAnsi="Arial" w:cs="Arial"/>
        </w:rPr>
        <w:t>1</w:t>
      </w:r>
      <w:r w:rsidR="00A11A4A" w:rsidRPr="005E6466">
        <w:rPr>
          <w:rFonts w:ascii="Arial" w:hAnsi="Arial" w:cs="Arial"/>
        </w:rPr>
        <w:t xml:space="preserve">, </w:t>
      </w:r>
      <w:r w:rsidRPr="005E6466">
        <w:rPr>
          <w:rFonts w:ascii="Arial" w:hAnsi="Arial" w:cs="Arial"/>
        </w:rPr>
        <w:t xml:space="preserve">por lo </w:t>
      </w:r>
      <w:r w:rsidR="00A11A4A" w:rsidRPr="005E6466">
        <w:rPr>
          <w:rFonts w:ascii="Arial" w:hAnsi="Arial" w:cs="Arial"/>
        </w:rPr>
        <w:t xml:space="preserve">se </w:t>
      </w:r>
      <w:r w:rsidRPr="005E6466">
        <w:rPr>
          <w:rFonts w:ascii="Arial" w:hAnsi="Arial" w:cs="Arial"/>
        </w:rPr>
        <w:t xml:space="preserve">pretende concretar dicho </w:t>
      </w:r>
      <w:r w:rsidR="00A11A4A" w:rsidRPr="005E6466">
        <w:rPr>
          <w:rFonts w:ascii="Arial" w:hAnsi="Arial" w:cs="Arial"/>
        </w:rPr>
        <w:t xml:space="preserve">proceso de reestructura de la deuda pública amortizable contraída por administraciones anteriores, </w:t>
      </w:r>
      <w:r w:rsidRPr="005E6466">
        <w:rPr>
          <w:rFonts w:ascii="Arial" w:hAnsi="Arial" w:cs="Arial"/>
        </w:rPr>
        <w:t xml:space="preserve">con miras de lograr </w:t>
      </w:r>
      <w:r w:rsidR="00A11A4A" w:rsidRPr="005E6466">
        <w:rPr>
          <w:rFonts w:ascii="Arial" w:hAnsi="Arial" w:cs="Arial"/>
        </w:rPr>
        <w:t>atenuar el servicio de la deuda para el estado y la liberación de garantías.</w:t>
      </w:r>
    </w:p>
    <w:p w:rsidR="007959A7" w:rsidRPr="005E6466" w:rsidRDefault="007959A7" w:rsidP="001732BC">
      <w:pPr>
        <w:spacing w:line="360" w:lineRule="auto"/>
        <w:ind w:firstLine="708"/>
        <w:jc w:val="both"/>
        <w:rPr>
          <w:rFonts w:ascii="Arial" w:hAnsi="Arial" w:cs="Arial"/>
        </w:rPr>
      </w:pPr>
    </w:p>
    <w:p w:rsidR="007959A7" w:rsidRDefault="007959A7" w:rsidP="007959A7">
      <w:pPr>
        <w:suppressAutoHyphens/>
        <w:spacing w:line="360" w:lineRule="auto"/>
        <w:ind w:firstLine="708"/>
        <w:jc w:val="both"/>
        <w:rPr>
          <w:rFonts w:ascii="Arial" w:hAnsi="Arial" w:cs="Arial"/>
        </w:rPr>
      </w:pPr>
      <w:r>
        <w:rPr>
          <w:rFonts w:ascii="Arial" w:hAnsi="Arial" w:cs="Arial"/>
        </w:rPr>
        <w:t>Por otra parte, mencionan que</w:t>
      </w:r>
      <w:r w:rsidRPr="007959A7">
        <w:rPr>
          <w:rFonts w:ascii="Arial" w:hAnsi="Arial" w:cs="Arial"/>
        </w:rPr>
        <w:t xml:space="preserve"> en cumplimiento de lo establecido en el artículo 5, fracción III, de la Ley de Disciplina Financiera de las Entidades Federativas y los Municipios, y en el artículo 20, fracción III, de la Ley del Presupuesto y Contabilidad Gubernamental del Estado de Yucatán, se presentan los principales riesgos que se detectan para los ingresos que estima percibir el estado en el ejercicio fiscal 2022:</w:t>
      </w:r>
    </w:p>
    <w:p w:rsidR="004851E2" w:rsidRPr="007959A7" w:rsidRDefault="004851E2" w:rsidP="007959A7">
      <w:pPr>
        <w:suppressAutoHyphens/>
        <w:spacing w:line="360" w:lineRule="auto"/>
        <w:ind w:firstLine="708"/>
        <w:jc w:val="both"/>
        <w:rPr>
          <w:rFonts w:ascii="Arial" w:hAnsi="Arial" w:cs="Arial"/>
        </w:rPr>
      </w:pPr>
    </w:p>
    <w:p w:rsidR="007959A7" w:rsidRDefault="007959A7" w:rsidP="007959A7">
      <w:pPr>
        <w:suppressAutoHyphens/>
        <w:spacing w:line="360" w:lineRule="auto"/>
        <w:ind w:firstLine="708"/>
        <w:jc w:val="both"/>
        <w:rPr>
          <w:rFonts w:ascii="Arial" w:hAnsi="Arial" w:cs="Arial"/>
        </w:rPr>
      </w:pPr>
      <w:r w:rsidRPr="007959A7">
        <w:rPr>
          <w:rFonts w:ascii="Arial" w:hAnsi="Arial" w:cs="Arial"/>
          <w:iCs/>
        </w:rPr>
        <w:t>a) Continuidad de la pandemia ocasionada por el virus SARS-CoV-2 y su aparejada desaceleración económica</w:t>
      </w:r>
      <w:r w:rsidRPr="007959A7">
        <w:rPr>
          <w:rFonts w:ascii="Arial" w:hAnsi="Arial" w:cs="Arial"/>
        </w:rPr>
        <w:t>. De prolongarse significativamente la presente crisis sanitaria, la recuperación de las interrupciones en las cadenas de suministros sería más lenta, lo que podría tener efectos negativos en la inflación, en el empleo y en los ingresos de los hogares. Esto implicaría además, como vimos en el año 2020, una baja recaudación a nivel local y federal, aunada a mayores necesidades de gasto para la atención hospitalaria, prevención y subsidios dirigidos a la población en mayor riesgo.</w:t>
      </w:r>
    </w:p>
    <w:p w:rsidR="007959A7" w:rsidRPr="007959A7" w:rsidRDefault="007959A7" w:rsidP="007959A7">
      <w:pPr>
        <w:suppressAutoHyphens/>
        <w:spacing w:line="360" w:lineRule="auto"/>
        <w:ind w:firstLine="708"/>
        <w:jc w:val="both"/>
        <w:rPr>
          <w:rFonts w:ascii="Arial" w:hAnsi="Arial" w:cs="Arial"/>
        </w:rPr>
      </w:pPr>
    </w:p>
    <w:p w:rsidR="007959A7" w:rsidRDefault="007959A7" w:rsidP="007959A7">
      <w:pPr>
        <w:suppressAutoHyphens/>
        <w:spacing w:line="360" w:lineRule="auto"/>
        <w:ind w:firstLine="708"/>
        <w:jc w:val="both"/>
        <w:rPr>
          <w:rFonts w:ascii="Arial" w:hAnsi="Arial" w:cs="Arial"/>
        </w:rPr>
      </w:pPr>
      <w:r w:rsidRPr="007959A7">
        <w:rPr>
          <w:rFonts w:ascii="Arial" w:hAnsi="Arial" w:cs="Arial"/>
          <w:iCs/>
        </w:rPr>
        <w:t>b) Ajustes a las participaciones por el cálculo del coeficiente de participaciones 2022.</w:t>
      </w:r>
      <w:r w:rsidRPr="007959A7">
        <w:rPr>
          <w:rFonts w:ascii="Arial" w:hAnsi="Arial" w:cs="Arial"/>
          <w:i/>
        </w:rPr>
        <w:t xml:space="preserve"> </w:t>
      </w:r>
      <w:r w:rsidRPr="007959A7">
        <w:rPr>
          <w:rFonts w:ascii="Arial" w:hAnsi="Arial" w:cs="Arial"/>
        </w:rPr>
        <w:t xml:space="preserve">El coeficiente aplicado para la distribución de recursos del Fondo General de Participaciones se modifica cada año en función de los resultados de recaudación publicados en las Cuentas Públicas previas inmediatas. </w:t>
      </w:r>
    </w:p>
    <w:p w:rsidR="001B04B6" w:rsidRPr="007959A7" w:rsidRDefault="001B04B6" w:rsidP="007959A7">
      <w:pPr>
        <w:suppressAutoHyphens/>
        <w:spacing w:line="360" w:lineRule="auto"/>
        <w:ind w:firstLine="708"/>
        <w:jc w:val="both"/>
        <w:rPr>
          <w:rFonts w:ascii="Arial" w:hAnsi="Arial" w:cs="Arial"/>
        </w:rPr>
      </w:pPr>
    </w:p>
    <w:p w:rsidR="007959A7" w:rsidRDefault="007959A7" w:rsidP="007959A7">
      <w:pPr>
        <w:suppressAutoHyphens/>
        <w:spacing w:line="360" w:lineRule="auto"/>
        <w:ind w:firstLine="708"/>
        <w:jc w:val="both"/>
        <w:rPr>
          <w:rFonts w:ascii="Arial" w:hAnsi="Arial" w:cs="Arial"/>
        </w:rPr>
      </w:pPr>
      <w:r w:rsidRPr="007959A7">
        <w:rPr>
          <w:rFonts w:ascii="Arial" w:hAnsi="Arial" w:cs="Arial"/>
          <w:iCs/>
        </w:rPr>
        <w:t>c)</w:t>
      </w:r>
      <w:r w:rsidRPr="007959A7">
        <w:rPr>
          <w:rFonts w:ascii="Arial" w:hAnsi="Arial" w:cs="Arial"/>
          <w:i/>
        </w:rPr>
        <w:t xml:space="preserve"> </w:t>
      </w:r>
      <w:r w:rsidRPr="007959A7">
        <w:rPr>
          <w:rFonts w:ascii="Arial" w:hAnsi="Arial" w:cs="Arial"/>
          <w:iCs/>
        </w:rPr>
        <w:t>Modificaciones fiscales y presupuestales del Gobierno federal.</w:t>
      </w:r>
      <w:r w:rsidRPr="007959A7">
        <w:rPr>
          <w:rFonts w:ascii="Arial" w:hAnsi="Arial" w:cs="Arial"/>
          <w:i/>
        </w:rPr>
        <w:t xml:space="preserve"> </w:t>
      </w:r>
      <w:r w:rsidRPr="007959A7">
        <w:rPr>
          <w:rFonts w:ascii="Arial" w:hAnsi="Arial" w:cs="Arial"/>
        </w:rPr>
        <w:t xml:space="preserve">Este riesgo se refiere a los recursos que operan las entidades federativas a través de la firma de convenios de colaboración con la federación. Existe incertidumbre sobre si habrá cambios significativos en el marco fiscal vigente o en los programas federales que actualmente existen. El Gobierno del estado </w:t>
      </w:r>
      <w:r w:rsidRPr="007959A7">
        <w:rPr>
          <w:rFonts w:ascii="Arial" w:hAnsi="Arial" w:cs="Arial"/>
        </w:rPr>
        <w:lastRenderedPageBreak/>
        <w:t>ha seguido la estrategia de gestionar y dar cumplimiento a los requisitos para la firma de convenios para la obtención de recursos. En este sentido, el paquete económico 2022 propuesto al H. Congreso del estado ha estimado los ingresos únicamente de aquellos convenios para los que se asignaron recursos en el Presupuesto de Egresos de la Federación 2022.</w:t>
      </w:r>
    </w:p>
    <w:p w:rsidR="001B04B6" w:rsidRPr="007959A7" w:rsidRDefault="001B04B6" w:rsidP="007959A7">
      <w:pPr>
        <w:suppressAutoHyphens/>
        <w:spacing w:line="360" w:lineRule="auto"/>
        <w:ind w:firstLine="708"/>
        <w:jc w:val="both"/>
        <w:rPr>
          <w:rFonts w:ascii="Arial" w:hAnsi="Arial" w:cs="Arial"/>
        </w:rPr>
      </w:pPr>
    </w:p>
    <w:p w:rsidR="007959A7" w:rsidRDefault="007959A7" w:rsidP="007959A7">
      <w:pPr>
        <w:suppressAutoHyphens/>
        <w:spacing w:line="360" w:lineRule="auto"/>
        <w:ind w:firstLine="708"/>
        <w:jc w:val="both"/>
        <w:rPr>
          <w:rFonts w:ascii="Arial" w:hAnsi="Arial" w:cs="Arial"/>
        </w:rPr>
      </w:pPr>
      <w:r w:rsidRPr="007959A7">
        <w:rPr>
          <w:rFonts w:ascii="Arial" w:hAnsi="Arial" w:cs="Arial"/>
          <w:iCs/>
        </w:rPr>
        <w:t>d)</w:t>
      </w:r>
      <w:r w:rsidRPr="007959A7">
        <w:rPr>
          <w:rFonts w:ascii="Arial" w:hAnsi="Arial" w:cs="Arial"/>
          <w:i/>
        </w:rPr>
        <w:t xml:space="preserve"> </w:t>
      </w:r>
      <w:r w:rsidRPr="007959A7">
        <w:rPr>
          <w:rFonts w:ascii="Arial" w:hAnsi="Arial" w:cs="Arial"/>
          <w:iCs/>
        </w:rPr>
        <w:t>Modificación de la tasa de referencia.</w:t>
      </w:r>
      <w:r w:rsidRPr="007959A7">
        <w:rPr>
          <w:rFonts w:ascii="Arial" w:hAnsi="Arial" w:cs="Arial"/>
          <w:i/>
        </w:rPr>
        <w:t xml:space="preserve"> </w:t>
      </w:r>
      <w:r w:rsidRPr="007959A7">
        <w:rPr>
          <w:rFonts w:ascii="Arial" w:hAnsi="Arial" w:cs="Arial"/>
        </w:rPr>
        <w:t xml:space="preserve">Los impactos negativos en la actividad económica mundial y nacional implicarán cambios en la política monetaria en función del desempeño de los mercados financieros internacionales. Las políticas monetarias expansivas generarán presiones a las tasas de interés de referencia fijadas por el Banco Central. </w:t>
      </w:r>
    </w:p>
    <w:p w:rsidR="001B04B6" w:rsidRPr="007959A7" w:rsidRDefault="001B04B6" w:rsidP="007959A7">
      <w:pPr>
        <w:suppressAutoHyphens/>
        <w:spacing w:line="360" w:lineRule="auto"/>
        <w:ind w:firstLine="708"/>
        <w:jc w:val="both"/>
        <w:rPr>
          <w:rFonts w:ascii="Arial" w:hAnsi="Arial" w:cs="Arial"/>
        </w:rPr>
      </w:pPr>
    </w:p>
    <w:p w:rsidR="007959A7" w:rsidRPr="007959A7" w:rsidRDefault="007959A7" w:rsidP="001B04B6">
      <w:pPr>
        <w:suppressAutoHyphens/>
        <w:spacing w:line="360" w:lineRule="auto"/>
        <w:ind w:firstLine="708"/>
        <w:jc w:val="both"/>
        <w:rPr>
          <w:rFonts w:ascii="Arial" w:hAnsi="Arial" w:cs="Arial"/>
        </w:rPr>
      </w:pPr>
      <w:r w:rsidRPr="007959A7">
        <w:rPr>
          <w:rFonts w:ascii="Arial" w:hAnsi="Arial" w:cs="Arial"/>
        </w:rPr>
        <w:t xml:space="preserve">Esta situación podría presentarse en el año 2022, con lo que las entidades federativas enfrentarían un mayor costo del servicio de la deuda y condiciones menos favorables para acceder o reestructurar los financiamientos. El paquete económico 2022 ha estimado recursos para la posible contratación de coberturas que permitan mitigar adecuadamente la deuda, sin incurrir en costos onerosos, en función de la conveniencia que se presente en los mercados financieros. </w:t>
      </w:r>
    </w:p>
    <w:p w:rsidR="00321887" w:rsidRPr="007959A7" w:rsidRDefault="00321887" w:rsidP="007959A7">
      <w:pPr>
        <w:spacing w:line="360" w:lineRule="auto"/>
        <w:ind w:firstLine="708"/>
        <w:jc w:val="both"/>
        <w:rPr>
          <w:rFonts w:ascii="Arial" w:hAnsi="Arial" w:cs="Arial"/>
        </w:rPr>
      </w:pPr>
    </w:p>
    <w:p w:rsidR="003912AF" w:rsidRPr="005E6466" w:rsidRDefault="002A39D4" w:rsidP="007A18EB">
      <w:pPr>
        <w:spacing w:line="360" w:lineRule="auto"/>
        <w:ind w:firstLine="708"/>
        <w:jc w:val="both"/>
        <w:rPr>
          <w:rFonts w:ascii="Arial" w:hAnsi="Arial" w:cs="Arial"/>
          <w:iCs/>
          <w:lang w:val="es-ES_tradnl"/>
        </w:rPr>
      </w:pPr>
      <w:r w:rsidRPr="005E6466">
        <w:rPr>
          <w:rFonts w:ascii="Arial" w:hAnsi="Arial" w:cs="Arial"/>
          <w:b/>
          <w:iCs/>
        </w:rPr>
        <w:t xml:space="preserve">SEXTA. </w:t>
      </w:r>
      <w:r w:rsidR="00696227" w:rsidRPr="005E6466">
        <w:rPr>
          <w:rFonts w:ascii="Arial" w:hAnsi="Arial" w:cs="Arial"/>
          <w:iCs/>
          <w:lang w:val="es-MX"/>
        </w:rPr>
        <w:t>Esta c</w:t>
      </w:r>
      <w:r w:rsidR="003912AF" w:rsidRPr="005E6466">
        <w:rPr>
          <w:rFonts w:ascii="Arial" w:hAnsi="Arial" w:cs="Arial"/>
          <w:iCs/>
          <w:lang w:val="es-MX"/>
        </w:rPr>
        <w:t xml:space="preserve">omisión </w:t>
      </w:r>
      <w:r w:rsidR="00696227" w:rsidRPr="005E6466">
        <w:rPr>
          <w:rFonts w:ascii="Arial" w:hAnsi="Arial" w:cs="Arial"/>
          <w:iCs/>
          <w:lang w:val="es-MX"/>
        </w:rPr>
        <w:t>p</w:t>
      </w:r>
      <w:r w:rsidR="003912AF" w:rsidRPr="005E6466">
        <w:rPr>
          <w:rFonts w:ascii="Arial" w:hAnsi="Arial" w:cs="Arial"/>
          <w:iCs/>
          <w:lang w:val="es-MX"/>
        </w:rPr>
        <w:t xml:space="preserve">ermanente, ha analizado la legalidad y constitucionalidad de cada uno de los distintos conceptos tributarios que establece la iniciativa objeto de este dictamen; así como, la armonización y correlación normativa entre la Ley General de Hacienda del Estado de Yucatán, con la respectiva Ley de Ingresos Estatal propuesta para su aprobación; considerándose que los conceptos por los cuales el Estado pretende obtener recursos en el próximo ejercicio fiscal, debe necesariamente coincidir con lo señalado en la </w:t>
      </w:r>
      <w:r w:rsidR="00E963F6" w:rsidRPr="005E6466">
        <w:rPr>
          <w:rFonts w:ascii="Arial" w:hAnsi="Arial" w:cs="Arial"/>
          <w:iCs/>
          <w:lang w:val="es-MX"/>
        </w:rPr>
        <w:t xml:space="preserve">Ley </w:t>
      </w:r>
      <w:r w:rsidR="00891E48" w:rsidRPr="005E6466">
        <w:rPr>
          <w:rFonts w:ascii="Arial" w:hAnsi="Arial" w:cs="Arial"/>
          <w:iCs/>
          <w:lang w:val="es-MX"/>
        </w:rPr>
        <w:t xml:space="preserve">General </w:t>
      </w:r>
      <w:r w:rsidR="00E963F6" w:rsidRPr="005E6466">
        <w:rPr>
          <w:rFonts w:ascii="Arial" w:hAnsi="Arial" w:cs="Arial"/>
          <w:iCs/>
          <w:lang w:val="es-MX"/>
        </w:rPr>
        <w:t>de Hacienda del Estado</w:t>
      </w:r>
      <w:r w:rsidR="003912AF" w:rsidRPr="005E6466">
        <w:rPr>
          <w:rFonts w:ascii="Arial" w:hAnsi="Arial" w:cs="Arial"/>
          <w:iCs/>
          <w:lang w:val="es-MX"/>
        </w:rPr>
        <w:t>.</w:t>
      </w:r>
    </w:p>
    <w:p w:rsidR="003912AF" w:rsidRPr="005E6466" w:rsidRDefault="003912AF" w:rsidP="007A18EB">
      <w:pPr>
        <w:spacing w:line="360" w:lineRule="auto"/>
        <w:ind w:firstLine="708"/>
        <w:jc w:val="both"/>
        <w:rPr>
          <w:rFonts w:ascii="Arial" w:hAnsi="Arial" w:cs="Arial"/>
          <w:iCs/>
          <w:lang w:val="es-ES_tradnl"/>
        </w:rPr>
      </w:pPr>
    </w:p>
    <w:p w:rsidR="003912AF" w:rsidRPr="005E6466" w:rsidRDefault="003912AF" w:rsidP="007A18EB">
      <w:pPr>
        <w:spacing w:line="360" w:lineRule="auto"/>
        <w:ind w:firstLine="708"/>
        <w:jc w:val="both"/>
        <w:rPr>
          <w:rFonts w:ascii="Arial" w:hAnsi="Arial" w:cs="Arial"/>
          <w:iCs/>
          <w:lang w:val="es-ES_tradnl"/>
        </w:rPr>
      </w:pPr>
      <w:r w:rsidRPr="005E6466">
        <w:rPr>
          <w:rFonts w:ascii="Arial" w:hAnsi="Arial" w:cs="Arial"/>
          <w:iCs/>
          <w:lang w:val="es-ES_tradnl"/>
        </w:rPr>
        <w:t>Por lo que se estima que los preceptos legales que contiene la iniciativa de Ley de Ingresos del Estado de Yucat</w:t>
      </w:r>
      <w:r w:rsidR="00D83C50" w:rsidRPr="005E6466">
        <w:rPr>
          <w:rFonts w:ascii="Arial" w:hAnsi="Arial" w:cs="Arial"/>
          <w:iCs/>
          <w:lang w:val="es-ES_tradnl"/>
        </w:rPr>
        <w:t>án para el Ejercicio Fiscal 202</w:t>
      </w:r>
      <w:r w:rsidR="002017B0">
        <w:rPr>
          <w:rFonts w:ascii="Arial" w:hAnsi="Arial" w:cs="Arial"/>
          <w:iCs/>
          <w:lang w:val="es-ES_tradnl"/>
        </w:rPr>
        <w:t>2</w:t>
      </w:r>
      <w:r w:rsidRPr="005E6466">
        <w:rPr>
          <w:rFonts w:ascii="Arial" w:hAnsi="Arial" w:cs="Arial"/>
          <w:iCs/>
          <w:lang w:val="es-ES_tradnl"/>
        </w:rPr>
        <w:t xml:space="preserve">, son congruentes con las disposiciones fiscales federales y estatales, con los preceptos relativos y aplicables de </w:t>
      </w:r>
      <w:smartTag w:uri="urn:schemas-microsoft-com:office:smarttags" w:element="PersonName">
        <w:smartTagPr>
          <w:attr w:name="ProductID" w:val="̂"/>
        </w:smartTagPr>
        <w:r w:rsidRPr="005E6466">
          <w:rPr>
            <w:rFonts w:ascii="Arial" w:hAnsi="Arial" w:cs="Arial"/>
            <w:iCs/>
            <w:lang w:val="es-ES_tradnl"/>
          </w:rPr>
          <w:t>la Constitución Política</w:t>
        </w:r>
      </w:smartTag>
      <w:r w:rsidRPr="005E6466">
        <w:rPr>
          <w:rFonts w:ascii="Arial" w:hAnsi="Arial" w:cs="Arial"/>
          <w:iCs/>
          <w:lang w:val="es-ES_tradnl"/>
        </w:rPr>
        <w:t xml:space="preserve"> de los Estados Unidos Mexicanos, y acorde con la realidad económica del Estado, por lo que estimamos que debe aprobarse.</w:t>
      </w:r>
    </w:p>
    <w:p w:rsidR="003912AF" w:rsidRPr="005E6466" w:rsidRDefault="003912AF" w:rsidP="007A18EB">
      <w:pPr>
        <w:spacing w:line="360" w:lineRule="auto"/>
        <w:ind w:firstLine="708"/>
        <w:jc w:val="both"/>
        <w:rPr>
          <w:rFonts w:ascii="Arial" w:hAnsi="Arial" w:cs="Arial"/>
          <w:iCs/>
          <w:lang w:val="es-ES_tradnl"/>
        </w:rPr>
      </w:pPr>
    </w:p>
    <w:p w:rsidR="00941071" w:rsidRPr="005E6466" w:rsidRDefault="003912AF" w:rsidP="007A18EB">
      <w:pPr>
        <w:spacing w:line="360" w:lineRule="auto"/>
        <w:ind w:firstLine="708"/>
        <w:jc w:val="both"/>
        <w:rPr>
          <w:rFonts w:ascii="Arial" w:hAnsi="Arial" w:cs="Arial"/>
          <w:iCs/>
          <w:lang w:val="es-MX"/>
        </w:rPr>
      </w:pPr>
      <w:r w:rsidRPr="005E6466">
        <w:rPr>
          <w:rFonts w:ascii="Arial" w:hAnsi="Arial" w:cs="Arial"/>
          <w:iCs/>
          <w:lang w:val="es-MX"/>
        </w:rPr>
        <w:t xml:space="preserve">Asimismo, es importante mencionar que en sesiones de trabajo de esta </w:t>
      </w:r>
      <w:r w:rsidR="003721D1" w:rsidRPr="005E6466">
        <w:rPr>
          <w:rFonts w:ascii="Arial" w:hAnsi="Arial" w:cs="Arial"/>
          <w:iCs/>
          <w:lang w:val="es-MX"/>
        </w:rPr>
        <w:t>c</w:t>
      </w:r>
      <w:r w:rsidRPr="005E6466">
        <w:rPr>
          <w:rFonts w:ascii="Arial" w:hAnsi="Arial" w:cs="Arial"/>
          <w:iCs/>
          <w:lang w:val="es-MX"/>
        </w:rPr>
        <w:t xml:space="preserve">omisión dictaminadora, </w:t>
      </w:r>
      <w:r w:rsidR="007A4DD3" w:rsidRPr="005E6466">
        <w:rPr>
          <w:rFonts w:ascii="Arial" w:hAnsi="Arial" w:cs="Arial"/>
        </w:rPr>
        <w:t>l</w:t>
      </w:r>
      <w:r w:rsidR="007A4DD3" w:rsidRPr="005E6466">
        <w:rPr>
          <w:rFonts w:ascii="Arial" w:hAnsi="Arial" w:cs="Arial"/>
          <w:lang w:val="es-MX"/>
        </w:rPr>
        <w:t>as diputadas y diputados</w:t>
      </w:r>
      <w:r w:rsidR="000A31DC" w:rsidRPr="005E6466">
        <w:rPr>
          <w:rFonts w:ascii="Arial" w:hAnsi="Arial" w:cs="Arial"/>
          <w:lang w:val="es-MX"/>
        </w:rPr>
        <w:t xml:space="preserve"> </w:t>
      </w:r>
      <w:r w:rsidR="00182150">
        <w:rPr>
          <w:rFonts w:ascii="Arial" w:hAnsi="Arial" w:cs="Arial"/>
          <w:iCs/>
          <w:lang w:val="es-MX"/>
        </w:rPr>
        <w:t>integrantes realizaron diverso</w:t>
      </w:r>
      <w:r w:rsidRPr="005E6466">
        <w:rPr>
          <w:rFonts w:ascii="Arial" w:hAnsi="Arial" w:cs="Arial"/>
          <w:iCs/>
          <w:lang w:val="es-MX"/>
        </w:rPr>
        <w:t xml:space="preserve">s </w:t>
      </w:r>
      <w:r w:rsidR="00182150">
        <w:rPr>
          <w:rFonts w:ascii="Arial" w:hAnsi="Arial" w:cs="Arial"/>
          <w:iCs/>
          <w:lang w:val="es-MX"/>
        </w:rPr>
        <w:t xml:space="preserve">comentarios a la iniciativa con la finalidad de enriquecer la discusión y el análisis de la misma, todos en busca de mejorar las necesidades de nuestro </w:t>
      </w:r>
      <w:r w:rsidRPr="005E6466">
        <w:rPr>
          <w:rFonts w:ascii="Arial" w:hAnsi="Arial" w:cs="Arial"/>
          <w:iCs/>
          <w:lang w:val="es-MX"/>
        </w:rPr>
        <w:t>Esta</w:t>
      </w:r>
      <w:r w:rsidR="00182150">
        <w:rPr>
          <w:rFonts w:ascii="Arial" w:hAnsi="Arial" w:cs="Arial"/>
          <w:iCs/>
          <w:lang w:val="es-MX"/>
        </w:rPr>
        <w:t>do.</w:t>
      </w:r>
    </w:p>
    <w:p w:rsidR="00941071" w:rsidRPr="005E6466" w:rsidRDefault="00941071" w:rsidP="007A18EB">
      <w:pPr>
        <w:spacing w:line="360" w:lineRule="auto"/>
        <w:ind w:firstLine="708"/>
        <w:jc w:val="both"/>
        <w:rPr>
          <w:rFonts w:ascii="Arial" w:hAnsi="Arial" w:cs="Arial"/>
          <w:iCs/>
          <w:lang w:val="es-MX"/>
        </w:rPr>
      </w:pPr>
    </w:p>
    <w:p w:rsidR="003912AF" w:rsidRPr="005E6466" w:rsidRDefault="00941071" w:rsidP="007A18EB">
      <w:pPr>
        <w:spacing w:line="360" w:lineRule="auto"/>
        <w:ind w:firstLine="708"/>
        <w:jc w:val="both"/>
        <w:rPr>
          <w:rFonts w:ascii="Arial" w:hAnsi="Arial" w:cs="Arial"/>
          <w:iCs/>
          <w:lang w:val="es-MX"/>
        </w:rPr>
      </w:pPr>
      <w:r w:rsidRPr="005E6466">
        <w:rPr>
          <w:rFonts w:ascii="Arial" w:hAnsi="Arial" w:cs="Arial"/>
          <w:iCs/>
          <w:lang w:val="es-MX"/>
        </w:rPr>
        <w:t>L</w:t>
      </w:r>
      <w:r w:rsidR="003912AF" w:rsidRPr="005E6466">
        <w:rPr>
          <w:rFonts w:ascii="Arial" w:hAnsi="Arial" w:cs="Arial"/>
          <w:iCs/>
          <w:lang w:val="es-MX"/>
        </w:rPr>
        <w:t xml:space="preserve">uego de un análisis pormenorizado a la </w:t>
      </w:r>
      <w:r w:rsidR="00FC474F" w:rsidRPr="005E6466">
        <w:rPr>
          <w:rFonts w:ascii="Arial" w:hAnsi="Arial" w:cs="Arial"/>
          <w:iCs/>
          <w:lang w:val="es-MX"/>
        </w:rPr>
        <w:t>l</w:t>
      </w:r>
      <w:r w:rsidR="003912AF" w:rsidRPr="005E6466">
        <w:rPr>
          <w:rFonts w:ascii="Arial" w:hAnsi="Arial" w:cs="Arial"/>
          <w:iCs/>
          <w:lang w:val="es-MX"/>
        </w:rPr>
        <w:t xml:space="preserve">ey, los integrantes que conformamos esta </w:t>
      </w:r>
      <w:r w:rsidR="00FC474F" w:rsidRPr="005E6466">
        <w:rPr>
          <w:rFonts w:ascii="Arial" w:hAnsi="Arial" w:cs="Arial"/>
          <w:iCs/>
          <w:lang w:val="es-MX"/>
        </w:rPr>
        <w:t>c</w:t>
      </w:r>
      <w:r w:rsidR="003912AF" w:rsidRPr="005E6466">
        <w:rPr>
          <w:rFonts w:ascii="Arial" w:hAnsi="Arial" w:cs="Arial"/>
          <w:iCs/>
          <w:lang w:val="es-MX"/>
        </w:rPr>
        <w:t xml:space="preserve">omisión, y conscientes que el objetivo de la iniciativa, es establecer una política fiscal que conceda mayor seguridad jurídica al contribuyente, facilitando su aplicación con eficiencia administrativa y congruencia para ejercer la potestad tributaria de modo responsable, fomentando la inversión tanto pública como privada, permitiendo la redistribución del ingreso en el Estado de manera que resulte más justa y equitativa, asegurando una eficaz coordinación tributaria así como con la federación, las entidades federativas y con nuestros municipios, nos pronunciamos a favor del proyecto de </w:t>
      </w:r>
      <w:r w:rsidR="009F7E00" w:rsidRPr="005E6466">
        <w:rPr>
          <w:rFonts w:ascii="Arial" w:hAnsi="Arial" w:cs="Arial"/>
          <w:iCs/>
          <w:lang w:val="es-MX"/>
        </w:rPr>
        <w:t>l</w:t>
      </w:r>
      <w:r w:rsidR="003912AF" w:rsidRPr="005E6466">
        <w:rPr>
          <w:rFonts w:ascii="Arial" w:hAnsi="Arial" w:cs="Arial"/>
          <w:iCs/>
          <w:lang w:val="es-MX"/>
        </w:rPr>
        <w:t>ey.</w:t>
      </w:r>
    </w:p>
    <w:p w:rsidR="003912AF" w:rsidRDefault="003912AF" w:rsidP="007A18EB">
      <w:pPr>
        <w:spacing w:line="360" w:lineRule="auto"/>
        <w:ind w:firstLine="708"/>
        <w:jc w:val="both"/>
        <w:rPr>
          <w:rFonts w:ascii="Arial" w:hAnsi="Arial" w:cs="Arial"/>
          <w:iCs/>
          <w:lang w:val="es-MX"/>
        </w:rPr>
      </w:pPr>
    </w:p>
    <w:p w:rsidR="00B71D0E" w:rsidRPr="00B71D0E" w:rsidRDefault="00B71D0E" w:rsidP="00B71D0E">
      <w:pPr>
        <w:tabs>
          <w:tab w:val="left" w:pos="4678"/>
        </w:tabs>
        <w:autoSpaceDE w:val="0"/>
        <w:autoSpaceDN w:val="0"/>
        <w:adjustRightInd w:val="0"/>
        <w:spacing w:line="360" w:lineRule="auto"/>
        <w:ind w:firstLine="708"/>
        <w:jc w:val="both"/>
        <w:rPr>
          <w:rFonts w:ascii="Arial" w:hAnsi="Arial" w:cs="Arial"/>
        </w:rPr>
      </w:pPr>
      <w:r w:rsidRPr="00B71D0E">
        <w:rPr>
          <w:rFonts w:ascii="Arial" w:hAnsi="Arial" w:cs="Arial"/>
        </w:rPr>
        <w:t>En tal virtud, con fundamento en los artículos 29 y 30, fracción V de la Constitución Política y 18 de la Ley de Gobierno del Poder Legislativo, ambas del Estado de Yucatán, se expide la siguiente:</w:t>
      </w:r>
    </w:p>
    <w:p w:rsidR="00B71D0E" w:rsidRPr="00B71D0E" w:rsidRDefault="00B71D0E" w:rsidP="007A18EB">
      <w:pPr>
        <w:spacing w:line="360" w:lineRule="auto"/>
        <w:ind w:firstLine="708"/>
        <w:jc w:val="both"/>
        <w:rPr>
          <w:rFonts w:ascii="Arial" w:hAnsi="Arial" w:cs="Arial"/>
          <w:iCs/>
        </w:rPr>
      </w:pPr>
    </w:p>
    <w:p w:rsidR="000A31DC" w:rsidRPr="005E6466" w:rsidRDefault="000A31DC" w:rsidP="00640279">
      <w:pPr>
        <w:tabs>
          <w:tab w:val="right" w:pos="8498"/>
        </w:tabs>
        <w:jc w:val="center"/>
        <w:rPr>
          <w:rFonts w:ascii="Arial" w:hAnsi="Arial" w:cs="Arial"/>
          <w:b/>
        </w:rPr>
      </w:pPr>
    </w:p>
    <w:p w:rsidR="001B04B6" w:rsidRDefault="002017B0" w:rsidP="000B0F29">
      <w:pPr>
        <w:tabs>
          <w:tab w:val="right" w:pos="8498"/>
        </w:tabs>
        <w:spacing w:line="360" w:lineRule="auto"/>
        <w:jc w:val="center"/>
        <w:rPr>
          <w:rFonts w:ascii="Arial" w:hAnsi="Arial" w:cs="Arial"/>
          <w:b/>
        </w:rPr>
      </w:pPr>
      <w:r>
        <w:rPr>
          <w:rFonts w:ascii="Arial" w:hAnsi="Arial" w:cs="Arial"/>
          <w:b/>
        </w:rPr>
        <w:br w:type="page"/>
      </w:r>
      <w:r w:rsidR="00BA6439" w:rsidRPr="00D93F7E">
        <w:rPr>
          <w:rFonts w:ascii="Arial" w:hAnsi="Arial" w:cs="Arial"/>
          <w:b/>
        </w:rPr>
        <w:lastRenderedPageBreak/>
        <w:t>LEY DE INGRESOS DEL ESTADO DE YUCATÁN PARA EL EJERCICIO FISCAL 2022</w:t>
      </w:r>
    </w:p>
    <w:p w:rsidR="001B04B6" w:rsidRPr="00D93F7E" w:rsidRDefault="001B04B6" w:rsidP="001B04B6">
      <w:pPr>
        <w:tabs>
          <w:tab w:val="right" w:pos="8498"/>
        </w:tabs>
        <w:spacing w:line="360" w:lineRule="auto"/>
        <w:jc w:val="center"/>
        <w:rPr>
          <w:rFonts w:ascii="Arial" w:hAnsi="Arial" w:cs="Arial"/>
          <w:b/>
        </w:rPr>
      </w:pPr>
    </w:p>
    <w:p w:rsidR="001B04B6" w:rsidRDefault="001B04B6" w:rsidP="001B04B6">
      <w:pPr>
        <w:jc w:val="both"/>
        <w:rPr>
          <w:rFonts w:ascii="Arial" w:hAnsi="Arial" w:cs="Arial"/>
        </w:rPr>
      </w:pPr>
      <w:r w:rsidRPr="00D93F7E">
        <w:rPr>
          <w:rFonts w:ascii="Arial" w:hAnsi="Arial" w:cs="Arial"/>
          <w:b/>
        </w:rPr>
        <w:t xml:space="preserve">Artículo </w:t>
      </w:r>
      <w:r w:rsidR="00BA6439" w:rsidRPr="00D93F7E">
        <w:rPr>
          <w:rFonts w:ascii="Arial" w:hAnsi="Arial" w:cs="Arial"/>
          <w:b/>
        </w:rPr>
        <w:t>Único.</w:t>
      </w:r>
      <w:r w:rsidR="00BA6439" w:rsidRPr="00D93F7E">
        <w:rPr>
          <w:rFonts w:ascii="Arial" w:hAnsi="Arial" w:cs="Arial"/>
        </w:rPr>
        <w:t xml:space="preserve"> </w:t>
      </w:r>
      <w:r w:rsidRPr="00D93F7E">
        <w:rPr>
          <w:rFonts w:ascii="Arial" w:hAnsi="Arial" w:cs="Arial"/>
        </w:rPr>
        <w:t>Se expide la Ley de Ingresos del Estado de Yucatán para el Ejercicio Fiscal 2022.</w:t>
      </w:r>
    </w:p>
    <w:p w:rsidR="001B04B6" w:rsidRPr="00D93F7E" w:rsidRDefault="001B04B6" w:rsidP="001B04B6">
      <w:pPr>
        <w:spacing w:line="360" w:lineRule="auto"/>
        <w:jc w:val="both"/>
        <w:rPr>
          <w:rFonts w:ascii="Arial" w:hAnsi="Arial" w:cs="Arial"/>
        </w:rPr>
      </w:pPr>
    </w:p>
    <w:p w:rsidR="001B04B6" w:rsidRDefault="001B04B6" w:rsidP="001B04B6">
      <w:pPr>
        <w:jc w:val="center"/>
        <w:rPr>
          <w:rFonts w:ascii="Arial" w:hAnsi="Arial" w:cs="Arial"/>
          <w:b/>
        </w:rPr>
      </w:pPr>
      <w:r w:rsidRPr="00D93F7E">
        <w:rPr>
          <w:rFonts w:ascii="Arial" w:hAnsi="Arial" w:cs="Arial"/>
          <w:b/>
        </w:rPr>
        <w:t>Ley de Ingresos del Estado de Yucatán para el Ejercicio Fiscal 2022</w:t>
      </w:r>
    </w:p>
    <w:p w:rsidR="001B04B6" w:rsidRPr="00D93F7E" w:rsidRDefault="001B04B6" w:rsidP="001B04B6">
      <w:pPr>
        <w:spacing w:line="360" w:lineRule="auto"/>
        <w:jc w:val="center"/>
        <w:rPr>
          <w:rFonts w:ascii="Arial" w:hAnsi="Arial" w:cs="Arial"/>
          <w:b/>
        </w:rPr>
      </w:pPr>
    </w:p>
    <w:p w:rsidR="001B04B6" w:rsidRDefault="001B04B6" w:rsidP="001B04B6">
      <w:pPr>
        <w:jc w:val="center"/>
        <w:rPr>
          <w:rFonts w:ascii="Arial" w:hAnsi="Arial" w:cs="Arial"/>
          <w:b/>
        </w:rPr>
      </w:pPr>
      <w:r w:rsidRPr="00D93F7E">
        <w:rPr>
          <w:rFonts w:ascii="Arial" w:hAnsi="Arial" w:cs="Arial"/>
          <w:b/>
        </w:rPr>
        <w:t>Capítulo I</w:t>
      </w:r>
    </w:p>
    <w:p w:rsidR="001B04B6" w:rsidRDefault="001B04B6" w:rsidP="001B04B6">
      <w:pPr>
        <w:jc w:val="center"/>
        <w:rPr>
          <w:rFonts w:ascii="Arial" w:hAnsi="Arial" w:cs="Arial"/>
          <w:b/>
        </w:rPr>
      </w:pPr>
      <w:r w:rsidRPr="00D93F7E">
        <w:rPr>
          <w:rFonts w:ascii="Arial" w:hAnsi="Arial" w:cs="Arial"/>
          <w:b/>
        </w:rPr>
        <w:t>Ingresos</w:t>
      </w:r>
    </w:p>
    <w:p w:rsidR="001B04B6" w:rsidRPr="00D93F7E" w:rsidRDefault="001B04B6" w:rsidP="001B04B6">
      <w:pPr>
        <w:jc w:val="center"/>
        <w:rPr>
          <w:rFonts w:ascii="Arial" w:hAnsi="Arial" w:cs="Arial"/>
          <w:b/>
        </w:rPr>
      </w:pPr>
    </w:p>
    <w:p w:rsidR="001B04B6" w:rsidRPr="00D93F7E" w:rsidRDefault="001B04B6" w:rsidP="001B04B6">
      <w:pPr>
        <w:jc w:val="both"/>
        <w:rPr>
          <w:rFonts w:ascii="Arial" w:hAnsi="Arial" w:cs="Arial"/>
          <w:b/>
        </w:rPr>
      </w:pPr>
      <w:r w:rsidRPr="00D93F7E">
        <w:rPr>
          <w:rFonts w:ascii="Arial" w:hAnsi="Arial" w:cs="Arial"/>
          <w:b/>
        </w:rPr>
        <w:t>Artículo 1. Objeto</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Esta ley tiene por objeto establecer las estimaciones de los ingresos que percibirá el estado de Yucatán durante el ejercicio fiscal comprendido del 1 de enero de 2022 al 31 de diciembre de 2022, que permitirán atender y financiar, entre otros rubros, los gastos, las inversiones públicas, la organización y la prestación de servicios públicos</w:t>
      </w:r>
      <w:r>
        <w:rPr>
          <w:rFonts w:ascii="Arial" w:hAnsi="Arial" w:cs="Arial"/>
        </w:rPr>
        <w:t xml:space="preserve"> y </w:t>
      </w:r>
      <w:r w:rsidRPr="00D93F7E">
        <w:rPr>
          <w:rFonts w:ascii="Arial" w:hAnsi="Arial" w:cs="Arial"/>
        </w:rPr>
        <w:t>los proyectos estratégicos, así como trabajar en el cumplimiento de las metas y objetivos del Plan Estatal de Desarrollo 2018-2024.</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Los ingresos referidos en el párrafo anterior se integrarán</w:t>
      </w:r>
      <w:r>
        <w:rPr>
          <w:rFonts w:ascii="Arial" w:hAnsi="Arial" w:cs="Arial"/>
        </w:rPr>
        <w:t>,</w:t>
      </w:r>
      <w:r w:rsidRPr="00D93F7E">
        <w:rPr>
          <w:rFonts w:ascii="Arial" w:hAnsi="Arial" w:cs="Arial"/>
        </w:rPr>
        <w:t xml:space="preserve"> de manera enunciativa</w:t>
      </w:r>
      <w:r>
        <w:rPr>
          <w:rFonts w:ascii="Arial" w:hAnsi="Arial" w:cs="Arial"/>
        </w:rPr>
        <w:t>, mas no limitativa,</w:t>
      </w:r>
      <w:r w:rsidRPr="00D93F7E">
        <w:rPr>
          <w:rFonts w:ascii="Arial" w:hAnsi="Arial" w:cs="Arial"/>
        </w:rPr>
        <w:t xml:space="preserve"> con los recursos provenientes de impuestos, cuotas y aportaciones de seguridad social, derechos, productos, aprovechamientos, ingresos por venta de bienes y servicios, participaciones, aportaciones, convenios, incentivos derivados de la colaboración fiscal</w:t>
      </w:r>
      <w:r>
        <w:rPr>
          <w:rFonts w:ascii="Arial" w:hAnsi="Arial" w:cs="Arial"/>
        </w:rPr>
        <w:t xml:space="preserve">, </w:t>
      </w:r>
      <w:r w:rsidRPr="00D93F7E">
        <w:rPr>
          <w:rFonts w:ascii="Arial" w:hAnsi="Arial" w:cs="Arial"/>
        </w:rPr>
        <w:t>fondos distintos de aportaciones y subsidios y subvenciones que determinen esta ley y las demás leyes fiscales aplicables.</w:t>
      </w: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Artículo 2. Ingresos</w:t>
      </w:r>
    </w:p>
    <w:p w:rsidR="001B04B6" w:rsidRDefault="001B04B6" w:rsidP="001B04B6">
      <w:pPr>
        <w:spacing w:before="100" w:beforeAutospacing="1" w:after="100" w:afterAutospacing="1"/>
        <w:jc w:val="both"/>
        <w:rPr>
          <w:rFonts w:ascii="Arial" w:hAnsi="Arial" w:cs="Arial"/>
        </w:rPr>
      </w:pPr>
      <w:r w:rsidRPr="00D93F7E">
        <w:rPr>
          <w:rFonts w:ascii="Arial" w:hAnsi="Arial" w:cs="Arial"/>
        </w:rPr>
        <w:t xml:space="preserve">Los ingresos que el estado de Yucatán percibirá durante el ejercicio fiscal 2022 serán los provenientes de los rubros, tipos y en las cantidades estimadas que a continuación se enumeran: </w:t>
      </w:r>
    </w:p>
    <w:p w:rsidR="001B04B6" w:rsidRDefault="001B04B6" w:rsidP="0016359A">
      <w:pPr>
        <w:spacing w:before="100" w:beforeAutospacing="1" w:after="100" w:afterAutospacing="1"/>
        <w:jc w:val="center"/>
        <w:rPr>
          <w:rFonts w:ascii="Arial" w:hAnsi="Arial" w:cs="Arial"/>
          <w:b/>
        </w:rPr>
      </w:pPr>
      <w:r>
        <w:rPr>
          <w:rFonts w:ascii="Arial" w:hAnsi="Arial" w:cs="Arial"/>
        </w:rPr>
        <w:br w:type="page"/>
      </w:r>
      <w:r w:rsidRPr="00D93F7E">
        <w:rPr>
          <w:rFonts w:ascii="Arial" w:hAnsi="Arial" w:cs="Arial"/>
          <w:b/>
        </w:rPr>
        <w:lastRenderedPageBreak/>
        <w:t>Tabla 1. Clasificador por rubro de ingresos</w:t>
      </w:r>
    </w:p>
    <w:tbl>
      <w:tblPr>
        <w:tblW w:w="4972" w:type="pct"/>
        <w:jc w:val="center"/>
        <w:tblBorders>
          <w:insideH w:val="single" w:sz="4" w:space="0" w:color="auto"/>
        </w:tblBorders>
        <w:tblLayout w:type="fixed"/>
        <w:tblCellMar>
          <w:left w:w="70" w:type="dxa"/>
          <w:right w:w="70" w:type="dxa"/>
        </w:tblCellMar>
        <w:tblLook w:val="04A0" w:firstRow="1" w:lastRow="0" w:firstColumn="1" w:lastColumn="0" w:noHBand="0" w:noVBand="1"/>
      </w:tblPr>
      <w:tblGrid>
        <w:gridCol w:w="1339"/>
        <w:gridCol w:w="4564"/>
        <w:gridCol w:w="2414"/>
      </w:tblGrid>
      <w:tr w:rsidR="001B04B6" w:rsidRPr="00931C5D" w:rsidTr="001B04B6">
        <w:trPr>
          <w:trHeight w:val="300"/>
          <w:tblHeader/>
          <w:jc w:val="center"/>
        </w:trPr>
        <w:tc>
          <w:tcPr>
            <w:tcW w:w="805" w:type="pct"/>
            <w:shd w:val="clear" w:color="2E75B5" w:fill="000000"/>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Rubros</w:t>
            </w:r>
          </w:p>
        </w:tc>
        <w:tc>
          <w:tcPr>
            <w:tcW w:w="2744" w:type="pct"/>
            <w:shd w:val="clear" w:color="2E75B5" w:fill="000000"/>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Conceptos</w:t>
            </w:r>
          </w:p>
        </w:tc>
        <w:tc>
          <w:tcPr>
            <w:tcW w:w="1451" w:type="pct"/>
            <w:shd w:val="clear" w:color="2E75B5" w:fill="000000"/>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Totales</w:t>
            </w:r>
          </w:p>
        </w:tc>
      </w:tr>
      <w:tr w:rsidR="001B04B6" w:rsidRPr="00931C5D" w:rsidTr="001B04B6">
        <w:trPr>
          <w:trHeight w:val="300"/>
          <w:jc w:val="center"/>
        </w:trPr>
        <w:tc>
          <w:tcPr>
            <w:tcW w:w="805" w:type="pct"/>
            <w:shd w:val="clear" w:color="2E75B5" w:fill="D9D9D9"/>
            <w:noWrap/>
            <w:vAlign w:val="bottom"/>
            <w:hideMark/>
          </w:tcPr>
          <w:p w:rsidR="001B04B6" w:rsidRPr="00931C5D" w:rsidRDefault="001B04B6" w:rsidP="00733A25">
            <w:pPr>
              <w:rPr>
                <w:rFonts w:ascii="Arial" w:hAnsi="Arial" w:cs="Arial"/>
                <w:b/>
                <w:bCs/>
                <w:sz w:val="20"/>
                <w:szCs w:val="20"/>
              </w:rPr>
            </w:pPr>
          </w:p>
        </w:tc>
        <w:tc>
          <w:tcPr>
            <w:tcW w:w="2744" w:type="pct"/>
            <w:shd w:val="clear" w:color="2E75B5" w:fill="D9D9D9"/>
            <w:vAlign w:val="bottom"/>
            <w:hideMark/>
          </w:tcPr>
          <w:p w:rsidR="001B04B6" w:rsidRPr="00931C5D" w:rsidRDefault="001B04B6" w:rsidP="00733A25">
            <w:pPr>
              <w:rPr>
                <w:rFonts w:ascii="Arial" w:hAnsi="Arial" w:cs="Arial"/>
                <w:b/>
                <w:bCs/>
                <w:sz w:val="20"/>
                <w:szCs w:val="20"/>
              </w:rPr>
            </w:pPr>
            <w:r w:rsidRPr="00931C5D">
              <w:rPr>
                <w:rFonts w:ascii="Arial" w:hAnsi="Arial" w:cs="Arial"/>
                <w:b/>
                <w:bCs/>
                <w:sz w:val="20"/>
                <w:szCs w:val="20"/>
              </w:rPr>
              <w:t>Iniciativa de Ley de Ingresos</w:t>
            </w:r>
          </w:p>
        </w:tc>
        <w:tc>
          <w:tcPr>
            <w:tcW w:w="1451" w:type="pct"/>
            <w:shd w:val="clear" w:color="333F4F" w:fill="D9D9D9"/>
            <w:noWrap/>
            <w:vAlign w:val="bottom"/>
            <w:hideMark/>
          </w:tcPr>
          <w:p w:rsidR="001B04B6" w:rsidRDefault="00A97F78" w:rsidP="00A97F78">
            <w:pPr>
              <w:jc w:val="right"/>
              <w:rPr>
                <w:rFonts w:ascii="Arial" w:hAnsi="Arial" w:cs="Arial"/>
                <w:b/>
                <w:sz w:val="20"/>
                <w:szCs w:val="20"/>
              </w:rPr>
            </w:pPr>
            <w:r w:rsidRPr="00A97F78">
              <w:rPr>
                <w:rFonts w:ascii="Arial" w:hAnsi="Arial" w:cs="Arial"/>
                <w:b/>
                <w:sz w:val="20"/>
                <w:szCs w:val="20"/>
              </w:rPr>
              <w:t>47,773,050,321</w:t>
            </w:r>
          </w:p>
          <w:p w:rsidR="00733A25" w:rsidRPr="00733A25" w:rsidRDefault="00733A25" w:rsidP="00A97F78">
            <w:pPr>
              <w:jc w:val="right"/>
              <w:rPr>
                <w:bCs/>
                <w:i/>
                <w:sz w:val="16"/>
                <w:szCs w:val="16"/>
              </w:rPr>
            </w:pPr>
            <w:r w:rsidRPr="00733A25">
              <w:rPr>
                <w:i/>
                <w:color w:val="002060"/>
                <w:sz w:val="16"/>
                <w:szCs w:val="16"/>
              </w:rPr>
              <w:t>Monto reformado D.O. 30/06/2022</w:t>
            </w:r>
          </w:p>
        </w:tc>
      </w:tr>
      <w:tr w:rsidR="001B04B6" w:rsidRPr="00931C5D" w:rsidTr="001B04B6">
        <w:trPr>
          <w:trHeight w:val="300"/>
          <w:jc w:val="center"/>
        </w:trPr>
        <w:tc>
          <w:tcPr>
            <w:tcW w:w="805" w:type="pct"/>
            <w:shd w:val="clear" w:color="D0CECE" w:fill="D0CECE"/>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1</w:t>
            </w:r>
          </w:p>
        </w:tc>
        <w:tc>
          <w:tcPr>
            <w:tcW w:w="2744" w:type="pct"/>
            <w:shd w:val="clear" w:color="D0CECE" w:fill="D0CECE"/>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Impuestos</w:t>
            </w:r>
          </w:p>
        </w:tc>
        <w:tc>
          <w:tcPr>
            <w:tcW w:w="1451" w:type="pct"/>
            <w:shd w:val="clear" w:color="D0CECE" w:fill="D0CECE"/>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2,785,616,196</w:t>
            </w:r>
          </w:p>
        </w:tc>
      </w:tr>
      <w:tr w:rsidR="001B04B6" w:rsidRPr="00931C5D" w:rsidTr="001B04B6">
        <w:trPr>
          <w:trHeight w:val="70"/>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1.1</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Impuestos sobre los Ingresos</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302,611,073</w:t>
            </w:r>
          </w:p>
        </w:tc>
      </w:tr>
      <w:tr w:rsidR="001B04B6" w:rsidRPr="00931C5D" w:rsidTr="001B04B6">
        <w:trPr>
          <w:trHeight w:val="195"/>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1.1.1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Sobre loterías, rifas, sorteos, concursos y juegos con cruce de apuestas legalmente permitidos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70,887,497</w:t>
            </w:r>
          </w:p>
        </w:tc>
      </w:tr>
      <w:tr w:rsidR="001B04B6" w:rsidRPr="00931C5D" w:rsidTr="001B04B6">
        <w:trPr>
          <w:trHeight w:val="102"/>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1.1.2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Sobre el ejercicio profesional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20,952,106</w:t>
            </w:r>
          </w:p>
        </w:tc>
      </w:tr>
      <w:tr w:rsidR="001B04B6" w:rsidRPr="00931C5D" w:rsidTr="001B04B6">
        <w:trPr>
          <w:trHeight w:val="25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1.1.3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Cedular sobre la obtención de ingresos por actividades empresariales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69,641,578</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1.1.4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Cedular por la enajenación de bienes inmuebles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141,129,892</w:t>
            </w:r>
          </w:p>
        </w:tc>
      </w:tr>
      <w:tr w:rsidR="001B04B6" w:rsidRPr="00931C5D" w:rsidTr="001B04B6">
        <w:trPr>
          <w:trHeight w:val="70"/>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1.2</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Impuesto sobre el patrimonio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0</w:t>
            </w:r>
          </w:p>
        </w:tc>
      </w:tr>
      <w:tr w:rsidR="001B04B6" w:rsidRPr="00931C5D" w:rsidTr="001B04B6">
        <w:trPr>
          <w:trHeight w:val="7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1.2.1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Sobre Tenencia o Uso de Vehículos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p>
          <w:p w:rsidR="001B04B6" w:rsidRPr="00931C5D" w:rsidRDefault="001B04B6" w:rsidP="001B04B6">
            <w:pPr>
              <w:jc w:val="right"/>
              <w:rPr>
                <w:rFonts w:ascii="Arial" w:hAnsi="Arial" w:cs="Arial"/>
                <w:sz w:val="20"/>
                <w:szCs w:val="20"/>
              </w:rPr>
            </w:pPr>
            <w:r w:rsidRPr="00931C5D">
              <w:rPr>
                <w:rFonts w:ascii="Arial" w:hAnsi="Arial" w:cs="Arial"/>
                <w:sz w:val="20"/>
                <w:szCs w:val="20"/>
              </w:rPr>
              <w:t>0</w:t>
            </w:r>
          </w:p>
        </w:tc>
      </w:tr>
      <w:tr w:rsidR="001B04B6" w:rsidRPr="00931C5D" w:rsidTr="001B04B6">
        <w:trPr>
          <w:trHeight w:val="191"/>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1.3</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Impuesto sobre la producción, el consumo y las transacciones</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482,689,971</w:t>
            </w:r>
          </w:p>
        </w:tc>
      </w:tr>
      <w:tr w:rsidR="001B04B6" w:rsidRPr="00931C5D" w:rsidTr="001B04B6">
        <w:trPr>
          <w:trHeight w:val="237"/>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1.3.1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Sobre Hospedaje</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61,749,994</w:t>
            </w:r>
          </w:p>
        </w:tc>
      </w:tr>
      <w:tr w:rsidR="001B04B6" w:rsidRPr="00931C5D" w:rsidTr="001B04B6">
        <w:trPr>
          <w:trHeight w:val="7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1.3.2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Sobre enajenación de vehículos usados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14,836,586</w:t>
            </w:r>
          </w:p>
        </w:tc>
      </w:tr>
      <w:tr w:rsidR="001B04B6" w:rsidRPr="00931C5D" w:rsidTr="001B04B6">
        <w:trPr>
          <w:trHeight w:val="145"/>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1.3.3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Adicional para la ejecución de obras materiales y asistencia social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233,748,588</w:t>
            </w:r>
          </w:p>
        </w:tc>
      </w:tr>
      <w:tr w:rsidR="001B04B6" w:rsidRPr="00931C5D" w:rsidTr="001B04B6">
        <w:trPr>
          <w:trHeight w:val="178"/>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1.3.4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 las erogaciones en juegos y concursos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146,093,668</w:t>
            </w:r>
          </w:p>
        </w:tc>
      </w:tr>
      <w:tr w:rsidR="001B04B6" w:rsidRPr="00931C5D" w:rsidTr="001B04B6">
        <w:trPr>
          <w:trHeight w:val="209"/>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1.3.5</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 Casas de Empeño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338,213</w:t>
            </w:r>
          </w:p>
        </w:tc>
      </w:tr>
      <w:tr w:rsidR="001B04B6" w:rsidRPr="00931C5D" w:rsidTr="001B04B6">
        <w:trPr>
          <w:trHeight w:val="228"/>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1.3.6</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 la venta final de bebidas con contenido alcohólico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25,922,922</w:t>
            </w:r>
          </w:p>
        </w:tc>
      </w:tr>
      <w:tr w:rsidR="001B04B6" w:rsidRPr="00931C5D" w:rsidTr="001B04B6">
        <w:trPr>
          <w:trHeight w:val="118"/>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1.4</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Impuestos al comercio exterior</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0</w:t>
            </w:r>
          </w:p>
        </w:tc>
      </w:tr>
      <w:tr w:rsidR="001B04B6" w:rsidRPr="00931C5D" w:rsidTr="001B04B6">
        <w:trPr>
          <w:trHeight w:val="149"/>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1.4.1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Al comercio exterior</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181"/>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1.5</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Impuestos sobre Nóminas y Asimilables</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1,845,014,343</w:t>
            </w:r>
          </w:p>
        </w:tc>
      </w:tr>
      <w:tr w:rsidR="001B04B6" w:rsidRPr="00931C5D" w:rsidTr="001B04B6">
        <w:trPr>
          <w:trHeight w:val="102"/>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1.5.1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Sobre erogaciones por remuneración al trabajo personal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1,845,014,343</w:t>
            </w:r>
          </w:p>
        </w:tc>
      </w:tr>
      <w:tr w:rsidR="001B04B6" w:rsidRPr="00931C5D" w:rsidTr="001B04B6">
        <w:trPr>
          <w:trHeight w:val="70"/>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1.6</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Impuestos ecológicos</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139,990,000</w:t>
            </w:r>
          </w:p>
        </w:tc>
      </w:tr>
      <w:tr w:rsidR="001B04B6" w:rsidRPr="00931C5D" w:rsidTr="001B04B6">
        <w:trPr>
          <w:trHeight w:val="121"/>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1.6.1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 la Emisión de Contaminantes al Suelo, Subsuelo y Agua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91,930,000</w:t>
            </w:r>
          </w:p>
        </w:tc>
      </w:tr>
      <w:tr w:rsidR="001B04B6" w:rsidRPr="00931C5D" w:rsidTr="001B04B6">
        <w:trPr>
          <w:trHeight w:val="7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1.6.2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 la Emisión de Gases a la Atmósfera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48,060,000</w:t>
            </w:r>
          </w:p>
        </w:tc>
      </w:tr>
      <w:tr w:rsidR="001B04B6" w:rsidRPr="00931C5D" w:rsidTr="001B04B6">
        <w:trPr>
          <w:trHeight w:val="129"/>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1.7</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Accesorios de Impuestos</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15,269,844</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1.7.1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Multas, recargos, gastos extraordinarios y otros accesorios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15,269,844</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1.7.2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Indemnizaciones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70"/>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1.8</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Otros impuestos</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0</w:t>
            </w:r>
          </w:p>
        </w:tc>
      </w:tr>
      <w:tr w:rsidR="001B04B6" w:rsidRPr="00931C5D" w:rsidTr="001B04B6">
        <w:trPr>
          <w:trHeight w:val="7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1.8.1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Otros impuestos varios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425"/>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1.9</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Impuestos no comprendidos en la Ley de Ingresos vigente, causadas en ejercicios fiscales anteriores pendientes de liquidación o pago</w:t>
            </w:r>
          </w:p>
        </w:tc>
        <w:tc>
          <w:tcPr>
            <w:tcW w:w="1451" w:type="pct"/>
            <w:shd w:val="clear" w:color="auto" w:fill="auto"/>
            <w:noWrap/>
            <w:vAlign w:val="bottom"/>
            <w:hideMark/>
          </w:tcPr>
          <w:p w:rsidR="001B04B6" w:rsidRPr="00931C5D" w:rsidRDefault="001B04B6" w:rsidP="001B04B6">
            <w:pPr>
              <w:jc w:val="right"/>
              <w:rPr>
                <w:rFonts w:ascii="Arial" w:hAnsi="Arial" w:cs="Arial"/>
                <w:b/>
                <w:sz w:val="20"/>
                <w:szCs w:val="20"/>
              </w:rPr>
            </w:pPr>
            <w:r w:rsidRPr="00931C5D">
              <w:rPr>
                <w:rFonts w:ascii="Arial" w:hAnsi="Arial" w:cs="Arial"/>
                <w:b/>
                <w:sz w:val="20"/>
                <w:szCs w:val="20"/>
              </w:rPr>
              <w:t>40,965</w:t>
            </w:r>
          </w:p>
        </w:tc>
      </w:tr>
      <w:tr w:rsidR="001B04B6" w:rsidRPr="00931C5D" w:rsidTr="001B04B6">
        <w:trPr>
          <w:trHeight w:val="205"/>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1.9.1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Sobre tenencia o uso de vehículos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40,965</w:t>
            </w:r>
          </w:p>
        </w:tc>
      </w:tr>
      <w:tr w:rsidR="001B04B6" w:rsidRPr="00931C5D" w:rsidTr="001B04B6">
        <w:trPr>
          <w:trHeight w:val="300"/>
          <w:jc w:val="center"/>
        </w:trPr>
        <w:tc>
          <w:tcPr>
            <w:tcW w:w="805" w:type="pct"/>
            <w:shd w:val="clear" w:color="D0CECE" w:fill="D0CECE"/>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2</w:t>
            </w:r>
          </w:p>
        </w:tc>
        <w:tc>
          <w:tcPr>
            <w:tcW w:w="2744" w:type="pct"/>
            <w:shd w:val="clear" w:color="D0CECE" w:fill="D0CECE"/>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Cuotas y Aportaciones de Seguridad Social</w:t>
            </w:r>
          </w:p>
        </w:tc>
        <w:tc>
          <w:tcPr>
            <w:tcW w:w="1451" w:type="pct"/>
            <w:shd w:val="clear" w:color="D0CECE" w:fill="D0CECE"/>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1,375,950,420</w:t>
            </w:r>
          </w:p>
        </w:tc>
      </w:tr>
      <w:tr w:rsidR="001B04B6" w:rsidRPr="00931C5D" w:rsidTr="001B04B6">
        <w:trPr>
          <w:trHeight w:val="70"/>
          <w:jc w:val="center"/>
        </w:trPr>
        <w:tc>
          <w:tcPr>
            <w:tcW w:w="805" w:type="pct"/>
            <w:shd w:val="clear" w:color="auto" w:fill="auto"/>
            <w:noWrap/>
            <w:vAlign w:val="bottom"/>
            <w:hideMark/>
          </w:tcPr>
          <w:p w:rsidR="001B04B6" w:rsidRPr="00931C5D" w:rsidRDefault="001B04B6" w:rsidP="001B04B6">
            <w:pPr>
              <w:ind w:left="72"/>
              <w:rPr>
                <w:rFonts w:ascii="Arial" w:hAnsi="Arial" w:cs="Arial"/>
                <w:b/>
                <w:sz w:val="20"/>
                <w:szCs w:val="20"/>
              </w:rPr>
            </w:pPr>
            <w:r w:rsidRPr="00931C5D">
              <w:rPr>
                <w:rFonts w:ascii="Arial" w:hAnsi="Arial" w:cs="Arial"/>
                <w:b/>
                <w:sz w:val="20"/>
                <w:szCs w:val="20"/>
              </w:rPr>
              <w:lastRenderedPageBreak/>
              <w:t>2.1</w:t>
            </w:r>
          </w:p>
        </w:tc>
        <w:tc>
          <w:tcPr>
            <w:tcW w:w="2744" w:type="pct"/>
            <w:shd w:val="clear" w:color="auto" w:fill="auto"/>
            <w:vAlign w:val="bottom"/>
            <w:hideMark/>
          </w:tcPr>
          <w:p w:rsidR="001B04B6" w:rsidRPr="00931C5D" w:rsidRDefault="001B04B6" w:rsidP="001B04B6">
            <w:pPr>
              <w:ind w:left="72"/>
              <w:rPr>
                <w:rFonts w:ascii="Arial" w:hAnsi="Arial" w:cs="Arial"/>
                <w:b/>
                <w:sz w:val="20"/>
                <w:szCs w:val="20"/>
              </w:rPr>
            </w:pPr>
            <w:r w:rsidRPr="00931C5D">
              <w:rPr>
                <w:rFonts w:ascii="Arial" w:hAnsi="Arial" w:cs="Arial"/>
                <w:b/>
                <w:sz w:val="20"/>
                <w:szCs w:val="20"/>
              </w:rPr>
              <w:t>Aportaciones para Fondos de Vivienda</w:t>
            </w:r>
          </w:p>
        </w:tc>
        <w:tc>
          <w:tcPr>
            <w:tcW w:w="1451" w:type="pct"/>
            <w:shd w:val="clear" w:color="auto" w:fill="auto"/>
            <w:noWrap/>
            <w:vAlign w:val="bottom"/>
            <w:hideMark/>
          </w:tcPr>
          <w:p w:rsidR="001B04B6" w:rsidRPr="00931C5D" w:rsidRDefault="001B04B6" w:rsidP="001B04B6">
            <w:pPr>
              <w:jc w:val="right"/>
              <w:rPr>
                <w:rFonts w:ascii="Arial" w:hAnsi="Arial" w:cs="Arial"/>
                <w:b/>
                <w:sz w:val="20"/>
                <w:szCs w:val="20"/>
              </w:rPr>
            </w:pPr>
            <w:r w:rsidRPr="00931C5D">
              <w:rPr>
                <w:rFonts w:ascii="Arial" w:hAnsi="Arial" w:cs="Arial"/>
                <w:b/>
                <w:bCs/>
                <w:sz w:val="20"/>
                <w:szCs w:val="20"/>
              </w:rPr>
              <w:t>0</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2.1.1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Aportaciones para Fondos de Vivienda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2.2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Cuotas para la Seguridad Social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1,375,950,420</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2.2.1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Cuotas para la Seguridad Social de los Trabajadores del Estado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1,375,950,420</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b/>
                <w:sz w:val="20"/>
                <w:szCs w:val="20"/>
              </w:rPr>
            </w:pPr>
            <w:r w:rsidRPr="00931C5D">
              <w:rPr>
                <w:rFonts w:ascii="Arial" w:hAnsi="Arial" w:cs="Arial"/>
                <w:b/>
                <w:sz w:val="20"/>
                <w:szCs w:val="20"/>
              </w:rPr>
              <w:t>2.3</w:t>
            </w:r>
          </w:p>
        </w:tc>
        <w:tc>
          <w:tcPr>
            <w:tcW w:w="2744" w:type="pct"/>
            <w:shd w:val="clear" w:color="auto" w:fill="auto"/>
            <w:vAlign w:val="bottom"/>
            <w:hideMark/>
          </w:tcPr>
          <w:p w:rsidR="001B04B6" w:rsidRPr="00931C5D" w:rsidRDefault="001B04B6" w:rsidP="001B04B6">
            <w:pPr>
              <w:ind w:left="72"/>
              <w:rPr>
                <w:rFonts w:ascii="Arial" w:hAnsi="Arial" w:cs="Arial"/>
                <w:b/>
                <w:sz w:val="20"/>
                <w:szCs w:val="20"/>
              </w:rPr>
            </w:pPr>
            <w:r w:rsidRPr="00931C5D">
              <w:rPr>
                <w:rFonts w:ascii="Arial" w:hAnsi="Arial" w:cs="Arial"/>
                <w:b/>
                <w:sz w:val="20"/>
                <w:szCs w:val="20"/>
              </w:rPr>
              <w:t>Cuotas de Ahorro para el Retiro</w:t>
            </w:r>
          </w:p>
        </w:tc>
        <w:tc>
          <w:tcPr>
            <w:tcW w:w="1451" w:type="pct"/>
            <w:shd w:val="clear" w:color="auto" w:fill="auto"/>
            <w:noWrap/>
            <w:vAlign w:val="bottom"/>
            <w:hideMark/>
          </w:tcPr>
          <w:p w:rsidR="001B04B6" w:rsidRPr="00931C5D" w:rsidRDefault="001B04B6" w:rsidP="001B04B6">
            <w:pPr>
              <w:jc w:val="right"/>
              <w:rPr>
                <w:rFonts w:ascii="Arial" w:hAnsi="Arial" w:cs="Arial"/>
                <w:b/>
                <w:sz w:val="20"/>
                <w:szCs w:val="20"/>
              </w:rPr>
            </w:pPr>
            <w:r w:rsidRPr="00931C5D">
              <w:rPr>
                <w:rFonts w:ascii="Arial" w:hAnsi="Arial" w:cs="Arial"/>
                <w:b/>
                <w:bCs/>
                <w:sz w:val="20"/>
                <w:szCs w:val="20"/>
              </w:rPr>
              <w:t>0</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2.3.1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Cuotas de Ahorro para el Retiro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b/>
                <w:sz w:val="20"/>
                <w:szCs w:val="20"/>
              </w:rPr>
            </w:pPr>
            <w:r w:rsidRPr="00931C5D">
              <w:rPr>
                <w:rFonts w:ascii="Arial" w:hAnsi="Arial" w:cs="Arial"/>
                <w:b/>
                <w:sz w:val="20"/>
                <w:szCs w:val="20"/>
              </w:rPr>
              <w:t>2.4</w:t>
            </w:r>
          </w:p>
        </w:tc>
        <w:tc>
          <w:tcPr>
            <w:tcW w:w="2744" w:type="pct"/>
            <w:shd w:val="clear" w:color="auto" w:fill="auto"/>
            <w:vAlign w:val="bottom"/>
            <w:hideMark/>
          </w:tcPr>
          <w:p w:rsidR="001B04B6" w:rsidRPr="00931C5D" w:rsidRDefault="001B04B6" w:rsidP="001B04B6">
            <w:pPr>
              <w:ind w:left="72"/>
              <w:rPr>
                <w:rFonts w:ascii="Arial" w:hAnsi="Arial" w:cs="Arial"/>
                <w:b/>
                <w:sz w:val="20"/>
                <w:szCs w:val="20"/>
              </w:rPr>
            </w:pPr>
            <w:r w:rsidRPr="00931C5D">
              <w:rPr>
                <w:rFonts w:ascii="Arial" w:hAnsi="Arial" w:cs="Arial"/>
                <w:b/>
                <w:sz w:val="20"/>
                <w:szCs w:val="20"/>
              </w:rPr>
              <w:t>Otras Cuotas y Aportaciones para la Seguridad Social</w:t>
            </w:r>
          </w:p>
        </w:tc>
        <w:tc>
          <w:tcPr>
            <w:tcW w:w="1451" w:type="pct"/>
            <w:shd w:val="clear" w:color="auto" w:fill="auto"/>
            <w:noWrap/>
            <w:vAlign w:val="bottom"/>
            <w:hideMark/>
          </w:tcPr>
          <w:p w:rsidR="001B04B6" w:rsidRPr="00931C5D" w:rsidRDefault="001B04B6" w:rsidP="001B04B6">
            <w:pPr>
              <w:jc w:val="right"/>
              <w:rPr>
                <w:rFonts w:ascii="Arial" w:hAnsi="Arial" w:cs="Arial"/>
                <w:b/>
                <w:sz w:val="20"/>
                <w:szCs w:val="20"/>
              </w:rPr>
            </w:pPr>
            <w:r w:rsidRPr="00931C5D">
              <w:rPr>
                <w:rFonts w:ascii="Arial" w:hAnsi="Arial" w:cs="Arial"/>
                <w:b/>
                <w:bCs/>
                <w:sz w:val="20"/>
                <w:szCs w:val="20"/>
              </w:rPr>
              <w:t>0</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2.4.1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Otras Cuotas y Aportaciones para la Seguridad Social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b/>
                <w:sz w:val="20"/>
                <w:szCs w:val="20"/>
              </w:rPr>
            </w:pPr>
            <w:r w:rsidRPr="00931C5D">
              <w:rPr>
                <w:rFonts w:ascii="Arial" w:hAnsi="Arial" w:cs="Arial"/>
                <w:b/>
                <w:sz w:val="20"/>
                <w:szCs w:val="20"/>
              </w:rPr>
              <w:t>2.5</w:t>
            </w:r>
          </w:p>
        </w:tc>
        <w:tc>
          <w:tcPr>
            <w:tcW w:w="2744" w:type="pct"/>
            <w:shd w:val="clear" w:color="auto" w:fill="auto"/>
            <w:vAlign w:val="bottom"/>
            <w:hideMark/>
          </w:tcPr>
          <w:p w:rsidR="001B04B6" w:rsidRPr="00931C5D" w:rsidRDefault="001B04B6" w:rsidP="001B04B6">
            <w:pPr>
              <w:ind w:left="72"/>
              <w:rPr>
                <w:rFonts w:ascii="Arial" w:hAnsi="Arial" w:cs="Arial"/>
                <w:b/>
                <w:sz w:val="20"/>
                <w:szCs w:val="20"/>
              </w:rPr>
            </w:pPr>
            <w:r w:rsidRPr="00931C5D">
              <w:rPr>
                <w:rFonts w:ascii="Arial" w:hAnsi="Arial" w:cs="Arial"/>
                <w:b/>
                <w:sz w:val="20"/>
                <w:szCs w:val="20"/>
              </w:rPr>
              <w:t>Accesorios de Cuotas y Aportaciones de Seguridad Social</w:t>
            </w:r>
          </w:p>
        </w:tc>
        <w:tc>
          <w:tcPr>
            <w:tcW w:w="1451" w:type="pct"/>
            <w:shd w:val="clear" w:color="auto" w:fill="auto"/>
            <w:noWrap/>
            <w:vAlign w:val="bottom"/>
            <w:hideMark/>
          </w:tcPr>
          <w:p w:rsidR="001B04B6" w:rsidRPr="00931C5D" w:rsidRDefault="001B04B6" w:rsidP="001B04B6">
            <w:pPr>
              <w:jc w:val="right"/>
              <w:rPr>
                <w:rFonts w:ascii="Arial" w:hAnsi="Arial" w:cs="Arial"/>
                <w:b/>
                <w:sz w:val="20"/>
                <w:szCs w:val="20"/>
              </w:rPr>
            </w:pPr>
            <w:r w:rsidRPr="00931C5D">
              <w:rPr>
                <w:rFonts w:ascii="Arial" w:hAnsi="Arial" w:cs="Arial"/>
                <w:b/>
                <w:bCs/>
                <w:sz w:val="20"/>
                <w:szCs w:val="20"/>
              </w:rPr>
              <w:t>0</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2.5.1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Accesorios de Cuotas y Aportaciones de Seguridad Social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D0CECE" w:fill="D0CECE"/>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3</w:t>
            </w:r>
          </w:p>
        </w:tc>
        <w:tc>
          <w:tcPr>
            <w:tcW w:w="2744" w:type="pct"/>
            <w:shd w:val="clear" w:color="D0CECE" w:fill="D0CECE"/>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Contribuciones de Mejoras</w:t>
            </w:r>
          </w:p>
        </w:tc>
        <w:tc>
          <w:tcPr>
            <w:tcW w:w="1451" w:type="pct"/>
            <w:shd w:val="clear" w:color="D0CECE" w:fill="D0CECE"/>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0</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b/>
                <w:sz w:val="20"/>
                <w:szCs w:val="20"/>
              </w:rPr>
            </w:pPr>
            <w:r w:rsidRPr="00931C5D">
              <w:rPr>
                <w:rFonts w:ascii="Arial" w:hAnsi="Arial" w:cs="Arial"/>
                <w:b/>
                <w:sz w:val="20"/>
                <w:szCs w:val="20"/>
              </w:rPr>
              <w:t>3.1</w:t>
            </w:r>
          </w:p>
        </w:tc>
        <w:tc>
          <w:tcPr>
            <w:tcW w:w="2744" w:type="pct"/>
            <w:shd w:val="clear" w:color="auto" w:fill="auto"/>
            <w:vAlign w:val="bottom"/>
            <w:hideMark/>
          </w:tcPr>
          <w:p w:rsidR="001B04B6" w:rsidRPr="00931C5D" w:rsidRDefault="001B04B6" w:rsidP="001B04B6">
            <w:pPr>
              <w:ind w:left="72"/>
              <w:rPr>
                <w:rFonts w:ascii="Arial" w:hAnsi="Arial" w:cs="Arial"/>
                <w:b/>
                <w:sz w:val="20"/>
                <w:szCs w:val="20"/>
              </w:rPr>
            </w:pPr>
            <w:r w:rsidRPr="00931C5D">
              <w:rPr>
                <w:rFonts w:ascii="Arial" w:hAnsi="Arial" w:cs="Arial"/>
                <w:b/>
                <w:sz w:val="20"/>
                <w:szCs w:val="20"/>
              </w:rPr>
              <w:t>Contribuciones de Mejoras por Obras Públicas</w:t>
            </w:r>
          </w:p>
        </w:tc>
        <w:tc>
          <w:tcPr>
            <w:tcW w:w="1451" w:type="pct"/>
            <w:shd w:val="clear" w:color="auto" w:fill="auto"/>
            <w:noWrap/>
            <w:vAlign w:val="bottom"/>
            <w:hideMark/>
          </w:tcPr>
          <w:p w:rsidR="001B04B6" w:rsidRPr="00931C5D" w:rsidRDefault="001B04B6" w:rsidP="001B04B6">
            <w:pPr>
              <w:jc w:val="right"/>
              <w:rPr>
                <w:rFonts w:ascii="Arial" w:hAnsi="Arial" w:cs="Arial"/>
                <w:b/>
                <w:sz w:val="20"/>
                <w:szCs w:val="20"/>
              </w:rPr>
            </w:pPr>
            <w:r w:rsidRPr="00931C5D">
              <w:rPr>
                <w:rFonts w:ascii="Arial" w:hAnsi="Arial" w:cs="Arial"/>
                <w:b/>
                <w:bCs/>
                <w:sz w:val="20"/>
                <w:szCs w:val="20"/>
              </w:rPr>
              <w:t>0</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3.1.1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Otras contribuciones de mejoras por obras públicas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90"/>
          <w:jc w:val="center"/>
        </w:trPr>
        <w:tc>
          <w:tcPr>
            <w:tcW w:w="805" w:type="pct"/>
            <w:shd w:val="clear" w:color="auto" w:fill="auto"/>
            <w:noWrap/>
            <w:vAlign w:val="bottom"/>
            <w:hideMark/>
          </w:tcPr>
          <w:p w:rsidR="001B04B6" w:rsidRPr="00931C5D" w:rsidRDefault="001B04B6" w:rsidP="001B04B6">
            <w:pPr>
              <w:ind w:left="72"/>
              <w:rPr>
                <w:rFonts w:ascii="Arial" w:hAnsi="Arial" w:cs="Arial"/>
                <w:b/>
                <w:sz w:val="20"/>
                <w:szCs w:val="20"/>
              </w:rPr>
            </w:pPr>
            <w:r w:rsidRPr="00931C5D">
              <w:rPr>
                <w:rFonts w:ascii="Arial" w:hAnsi="Arial" w:cs="Arial"/>
                <w:b/>
                <w:sz w:val="20"/>
                <w:szCs w:val="20"/>
              </w:rPr>
              <w:t>3.9</w:t>
            </w:r>
          </w:p>
        </w:tc>
        <w:tc>
          <w:tcPr>
            <w:tcW w:w="2744" w:type="pct"/>
            <w:shd w:val="clear" w:color="auto" w:fill="auto"/>
            <w:vAlign w:val="bottom"/>
            <w:hideMark/>
          </w:tcPr>
          <w:p w:rsidR="001B04B6" w:rsidRPr="00931C5D" w:rsidRDefault="001B04B6" w:rsidP="001B04B6">
            <w:pPr>
              <w:ind w:left="72"/>
              <w:rPr>
                <w:rFonts w:ascii="Arial" w:hAnsi="Arial" w:cs="Arial"/>
                <w:b/>
                <w:sz w:val="20"/>
                <w:szCs w:val="20"/>
              </w:rPr>
            </w:pPr>
            <w:r w:rsidRPr="00931C5D">
              <w:rPr>
                <w:rFonts w:ascii="Arial" w:hAnsi="Arial" w:cs="Arial"/>
                <w:b/>
                <w:sz w:val="20"/>
                <w:szCs w:val="20"/>
              </w:rPr>
              <w:t>Contribuciones de Mejoras no comprendidas en la Ley de Ingresos vigente, causadas en ejercicios fiscales anteriores pendientes de liquidación o pago</w:t>
            </w:r>
          </w:p>
        </w:tc>
        <w:tc>
          <w:tcPr>
            <w:tcW w:w="1451" w:type="pct"/>
            <w:shd w:val="clear" w:color="auto" w:fill="auto"/>
            <w:noWrap/>
            <w:vAlign w:val="bottom"/>
            <w:hideMark/>
          </w:tcPr>
          <w:p w:rsidR="001B04B6" w:rsidRPr="00931C5D" w:rsidRDefault="001B04B6" w:rsidP="001B04B6">
            <w:pPr>
              <w:jc w:val="right"/>
              <w:rPr>
                <w:rFonts w:ascii="Arial" w:hAnsi="Arial" w:cs="Arial"/>
                <w:b/>
                <w:sz w:val="20"/>
                <w:szCs w:val="20"/>
              </w:rPr>
            </w:pPr>
            <w:r w:rsidRPr="00931C5D">
              <w:rPr>
                <w:rFonts w:ascii="Arial" w:hAnsi="Arial" w:cs="Arial"/>
                <w:b/>
                <w:bCs/>
                <w:sz w:val="20"/>
                <w:szCs w:val="20"/>
              </w:rPr>
              <w:t>0</w:t>
            </w:r>
          </w:p>
        </w:tc>
      </w:tr>
      <w:tr w:rsidR="001B04B6" w:rsidRPr="00931C5D" w:rsidTr="001B04B6">
        <w:trPr>
          <w:trHeight w:val="7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3.9.1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Contribuciones de Mejoras no comprendidas en la Ley de Ingresos vigente, causadas en ejercicios fiscales anteriores pendientes de liquidación o pago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70"/>
          <w:jc w:val="center"/>
        </w:trPr>
        <w:tc>
          <w:tcPr>
            <w:tcW w:w="805" w:type="pct"/>
            <w:shd w:val="clear" w:color="D0CECE" w:fill="D0CECE"/>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4</w:t>
            </w:r>
          </w:p>
        </w:tc>
        <w:tc>
          <w:tcPr>
            <w:tcW w:w="2744" w:type="pct"/>
            <w:shd w:val="clear" w:color="D0CECE" w:fill="D0CECE"/>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Derechos</w:t>
            </w:r>
          </w:p>
        </w:tc>
        <w:tc>
          <w:tcPr>
            <w:tcW w:w="1451" w:type="pct"/>
            <w:shd w:val="clear" w:color="D0CECE" w:fill="D0CECE"/>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1,722,038,175</w:t>
            </w:r>
          </w:p>
        </w:tc>
      </w:tr>
      <w:tr w:rsidR="001B04B6" w:rsidRPr="00931C5D" w:rsidTr="001B04B6">
        <w:trPr>
          <w:trHeight w:val="279"/>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4.1</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Derechos por el uso, goce, aprovechamiento o explotación de bienes del dominio público</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511,889,981</w:t>
            </w:r>
          </w:p>
        </w:tc>
      </w:tr>
      <w:tr w:rsidR="001B04B6" w:rsidRPr="00931C5D" w:rsidTr="001B04B6">
        <w:trPr>
          <w:trHeight w:val="187"/>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4.1.1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Por el uso, goce o aprovechamiento de bienes de dominio público del Estado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214,701</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4.1.2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Por el uso de cementerios y prestación de servicios conexos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241"/>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4.1.3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Por el Uso de Bienes del Dominio Público del Estado de Yucatán que operen como Paradores Turísticos de Zonas Arqueológicas y Turísticas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511,675,280</w:t>
            </w:r>
          </w:p>
        </w:tc>
      </w:tr>
      <w:tr w:rsidR="001B04B6" w:rsidRPr="00931C5D" w:rsidTr="001B04B6">
        <w:trPr>
          <w:trHeight w:val="70"/>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4.3</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Derechos por prestación de servicios</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1,209,934,806</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Servicios que presta la Administración Pública en general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6,022,473</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Servicios que presta la Secretaría de Seguridad Pública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588,049,676</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4.3.2.1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Dotación, canje, reposición y baja de placas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372,932,854</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4.3.2.2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Tarjetas de circulación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82,924,348</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4.3.2.3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Expedición de licencias de manejo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97,161,341</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lastRenderedPageBreak/>
              <w:t>4.3.2.4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Otros servicios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6,934,564</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4.3.2.5</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Relacionados con vialidad de vehículos de carga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24,213,738</w:t>
            </w:r>
          </w:p>
        </w:tc>
      </w:tr>
      <w:tr w:rsidR="001B04B6" w:rsidRPr="00931C5D" w:rsidTr="001B04B6">
        <w:trPr>
          <w:trHeight w:val="297"/>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4.3.2.6</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Relacionados con la policía auxiliar y la policía bancaria, industrial y comercial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3,498,370</w:t>
            </w:r>
          </w:p>
        </w:tc>
      </w:tr>
      <w:tr w:rsidR="001B04B6" w:rsidRPr="00931C5D" w:rsidTr="001B04B6">
        <w:trPr>
          <w:trHeight w:val="645"/>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4.3.2.7</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Seguridad externa en las vialidades y espacios públicos adyacentes en los que se lleven a cabo exposiciones, asambleas, espectáculos públicos, eventos artísticos y demás eventos análogos en general, de conformidad con el aforo de cada uno de ellos.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44,611</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4.3.2.8</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Seguridad Privada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339,850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Derechos por los servicios que presta la Consejería Jurídica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71,125,171</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4.3.3.1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Dirección del Registro Civil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66,351,917</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4.3.3.2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Diario Oficial del Gobierno del Estado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2,408,958</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4.3.3.3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Otros Servicios que presta la Consejería Jurídica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663,483</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4.3.3.4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Dirección del Archivo Notarial del Estado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1,700,813</w:t>
            </w:r>
          </w:p>
        </w:tc>
      </w:tr>
      <w:tr w:rsidR="001B04B6" w:rsidRPr="00931C5D" w:rsidTr="001B04B6">
        <w:trPr>
          <w:trHeight w:val="6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Servicios que presta el Instituto de Seguridad Jurídica Patrimonial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321,419,931</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4.3.4.1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Dirección del Registro Público de la Propiedad y del Comercio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199,741,762</w:t>
            </w:r>
          </w:p>
        </w:tc>
      </w:tr>
      <w:tr w:rsidR="001B04B6" w:rsidRPr="00931C5D" w:rsidTr="001B04B6">
        <w:trPr>
          <w:trHeight w:val="6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4.3.4.2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Servicios que prestan los Fedatarios a quienes el Estado les haya concedido Fe Pública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108,118,480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4.3.4.3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Dirección de Catastro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13,559,689</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4.3.5</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Servicios que presta la Fiscalía General del Estado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4,125,910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4.3.6</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Servicios que presta la Secretaría de Educación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10,102,666</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4.3.7</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Servicios que presta la Secretaría de Desarrollo Sustentable</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56,478,784</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4.3.8</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Servicios que presta la Secretaría de Salud</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66,594,218</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4.3.9</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Servicios que presta la Coordinación Estatal de Protección Civil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312,664</w:t>
            </w:r>
          </w:p>
        </w:tc>
      </w:tr>
      <w:tr w:rsidR="001B04B6" w:rsidRPr="00931C5D" w:rsidTr="001B04B6">
        <w:trPr>
          <w:trHeight w:val="6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4.3.10</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Servicios que presta el Instituto de Movilidad y Desarrollo Urbano Territorial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13,843,514</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4.3.11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Acceso a la información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71,800</w:t>
            </w:r>
          </w:p>
        </w:tc>
      </w:tr>
      <w:tr w:rsidR="001B04B6" w:rsidRPr="00931C5D" w:rsidTr="001B04B6">
        <w:trPr>
          <w:trHeight w:val="6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4.3.12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Por los servicios de inspección, control y fiscalización que realiza la Secretaría de la Contraloría General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7,980,000</w:t>
            </w:r>
          </w:p>
        </w:tc>
      </w:tr>
      <w:tr w:rsidR="001B04B6" w:rsidRPr="00931C5D" w:rsidTr="001B04B6">
        <w:trPr>
          <w:trHeight w:val="6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4.3.13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Por los servicios de supervisión, vigilancia y registro de máquinas de juegos y apuestas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42,241,738</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4.3.14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Por los servicios que presta el Poder Judicial del Estado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w:t>
            </w:r>
          </w:p>
        </w:tc>
      </w:tr>
      <w:tr w:rsidR="001B04B6" w:rsidRPr="00931C5D" w:rsidTr="001B04B6">
        <w:trPr>
          <w:trHeight w:val="6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lastRenderedPageBreak/>
              <w:t>4.3.15</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Por los servicios de permiso, registro y supervisión para la instalación y operación de casas de empeño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419,175</w:t>
            </w:r>
          </w:p>
        </w:tc>
      </w:tr>
      <w:tr w:rsidR="001B04B6" w:rsidRPr="00931C5D" w:rsidTr="001B04B6">
        <w:trPr>
          <w:trHeight w:val="6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4.3.16</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Servicios que presta la Secretaría de Investigación, Innovación y Educación Superior</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21,147,085</w:t>
            </w:r>
          </w:p>
        </w:tc>
      </w:tr>
      <w:tr w:rsidR="001B04B6" w:rsidRPr="00931C5D" w:rsidTr="001B04B6">
        <w:trPr>
          <w:trHeight w:val="70"/>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4.4</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Otros Derechos</w:t>
            </w:r>
          </w:p>
        </w:tc>
        <w:tc>
          <w:tcPr>
            <w:tcW w:w="1451" w:type="pct"/>
            <w:shd w:val="clear" w:color="auto" w:fill="auto"/>
            <w:noWrap/>
            <w:vAlign w:val="bottom"/>
            <w:hideMark/>
          </w:tcPr>
          <w:p w:rsidR="001B04B6" w:rsidRPr="00931C5D" w:rsidRDefault="001B04B6" w:rsidP="001B04B6">
            <w:pPr>
              <w:jc w:val="right"/>
              <w:rPr>
                <w:rFonts w:ascii="Arial" w:hAnsi="Arial" w:cs="Arial"/>
                <w:b/>
                <w:sz w:val="20"/>
                <w:szCs w:val="20"/>
              </w:rPr>
            </w:pPr>
            <w:r w:rsidRPr="00931C5D">
              <w:rPr>
                <w:rFonts w:ascii="Arial" w:hAnsi="Arial" w:cs="Arial"/>
                <w:b/>
                <w:bCs/>
                <w:sz w:val="20"/>
                <w:szCs w:val="20"/>
              </w:rPr>
              <w:t>0</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4.4.1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Otros Derechos no contemplados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4.5</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Accesorios de Derechos</w:t>
            </w:r>
          </w:p>
        </w:tc>
        <w:tc>
          <w:tcPr>
            <w:tcW w:w="1451" w:type="pct"/>
            <w:shd w:val="clear" w:color="auto" w:fill="auto"/>
            <w:noWrap/>
            <w:vAlign w:val="bottom"/>
            <w:hideMark/>
          </w:tcPr>
          <w:p w:rsidR="001B04B6" w:rsidRPr="00931C5D" w:rsidRDefault="001B04B6" w:rsidP="001B04B6">
            <w:pPr>
              <w:jc w:val="right"/>
              <w:rPr>
                <w:rFonts w:ascii="Arial" w:hAnsi="Arial" w:cs="Arial"/>
                <w:b/>
                <w:sz w:val="20"/>
                <w:szCs w:val="20"/>
              </w:rPr>
            </w:pPr>
            <w:r w:rsidRPr="00931C5D">
              <w:rPr>
                <w:rFonts w:ascii="Arial" w:hAnsi="Arial" w:cs="Arial"/>
                <w:b/>
                <w:sz w:val="20"/>
                <w:szCs w:val="20"/>
              </w:rPr>
              <w:t>213,388</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4.5.1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Multas, recargos, gastos extraordinarios y otros accesorios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213,387</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4.5.2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Indemnizaciones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w:t>
            </w:r>
          </w:p>
        </w:tc>
      </w:tr>
      <w:tr w:rsidR="001B04B6" w:rsidRPr="00931C5D" w:rsidTr="001B04B6">
        <w:trPr>
          <w:trHeight w:val="70"/>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4.9</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Derechos no comprendidos en la Ley de Ingresos Vigente, causadas en ejercicios fiscales anteriores pendientes de liquidación o pago</w:t>
            </w:r>
          </w:p>
        </w:tc>
        <w:tc>
          <w:tcPr>
            <w:tcW w:w="1451" w:type="pct"/>
            <w:shd w:val="clear" w:color="auto" w:fill="auto"/>
            <w:noWrap/>
            <w:vAlign w:val="bottom"/>
            <w:hideMark/>
          </w:tcPr>
          <w:p w:rsidR="001B04B6" w:rsidRPr="00931C5D" w:rsidRDefault="001B04B6" w:rsidP="001B04B6">
            <w:pPr>
              <w:jc w:val="right"/>
              <w:rPr>
                <w:rFonts w:ascii="Arial" w:hAnsi="Arial" w:cs="Arial"/>
                <w:b/>
                <w:sz w:val="20"/>
                <w:szCs w:val="20"/>
              </w:rPr>
            </w:pPr>
            <w:r w:rsidRPr="00931C5D">
              <w:rPr>
                <w:rFonts w:ascii="Arial" w:hAnsi="Arial" w:cs="Arial"/>
                <w:b/>
                <w:bCs/>
                <w:sz w:val="20"/>
                <w:szCs w:val="20"/>
              </w:rPr>
              <w:t>0</w:t>
            </w:r>
          </w:p>
        </w:tc>
      </w:tr>
      <w:tr w:rsidR="001B04B6" w:rsidRPr="00931C5D" w:rsidTr="001B04B6">
        <w:trPr>
          <w:trHeight w:val="269"/>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4.9.1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Derechos no comprendidos en la Ley de Ingresos Vigente, causadas en ejercicios fiscales anteriores pendientes de liquidación o pago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70"/>
          <w:jc w:val="center"/>
        </w:trPr>
        <w:tc>
          <w:tcPr>
            <w:tcW w:w="805" w:type="pct"/>
            <w:shd w:val="clear" w:color="D0CECE" w:fill="D0CECE"/>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5</w:t>
            </w:r>
          </w:p>
        </w:tc>
        <w:tc>
          <w:tcPr>
            <w:tcW w:w="2744" w:type="pct"/>
            <w:shd w:val="clear" w:color="D0CECE" w:fill="D0CECE"/>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Productos</w:t>
            </w:r>
          </w:p>
        </w:tc>
        <w:tc>
          <w:tcPr>
            <w:tcW w:w="1451" w:type="pct"/>
            <w:shd w:val="clear" w:color="D0CECE" w:fill="D0CECE"/>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323,996,640</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5.1</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Productos</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323,996,640</w:t>
            </w:r>
          </w:p>
        </w:tc>
      </w:tr>
      <w:tr w:rsidR="001B04B6" w:rsidRPr="00931C5D" w:rsidTr="001B04B6">
        <w:trPr>
          <w:trHeight w:val="7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5.1.1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Uso, aprovechamiento o enajenación de bienes de dominio privado del Estado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258,996,637</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5.1.2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Enajenación de bienes muebles no sujetos a ser inventariados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5.1.3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Accesorios de los Productos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5.1.4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Rendimientos de capitales y valores del Estado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65,000,000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5.1.4.1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Rendimientos Propios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65,000,000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5.1.4.2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Rendimientos Federales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0</w:t>
            </w:r>
          </w:p>
        </w:tc>
      </w:tr>
      <w:tr w:rsidR="001B04B6" w:rsidRPr="00931C5D" w:rsidTr="001B04B6">
        <w:trPr>
          <w:trHeight w:val="7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5.1.9</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Otros productos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w:t>
            </w:r>
          </w:p>
        </w:tc>
      </w:tr>
      <w:tr w:rsidR="001B04B6" w:rsidRPr="00931C5D" w:rsidTr="001B04B6">
        <w:trPr>
          <w:trHeight w:val="152"/>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5.9</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Productos no comprendidos en la Ley de Ingresos Vigente, causadas en ejercicios fiscales anteriores pendientes de liquidación o pago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216"/>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5.9.1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Productos no comprendidos en la Ley de Ingresos Vigente, causadas en ejercicios fiscales anteriores pendientes de liquidación o pago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D0CECE" w:fill="D0CECE"/>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6</w:t>
            </w:r>
          </w:p>
        </w:tc>
        <w:tc>
          <w:tcPr>
            <w:tcW w:w="2744" w:type="pct"/>
            <w:shd w:val="clear" w:color="D0CECE" w:fill="D0CECE"/>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Aprovechamientos</w:t>
            </w:r>
          </w:p>
        </w:tc>
        <w:tc>
          <w:tcPr>
            <w:tcW w:w="1451" w:type="pct"/>
            <w:shd w:val="clear" w:color="D0CECE" w:fill="D0CECE"/>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279,105,662</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6.1</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Aprovechamientos</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277,733,117</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6.1.1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Recargos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6.1.2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Indemnizaciones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30,231</w:t>
            </w:r>
          </w:p>
        </w:tc>
      </w:tr>
      <w:tr w:rsidR="001B04B6" w:rsidRPr="00931C5D" w:rsidTr="001B04B6">
        <w:trPr>
          <w:trHeight w:val="7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6.1.3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Multas administrativas y multas impuestas por autoridades judiciales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65,832,212</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lastRenderedPageBreak/>
              <w:t>6.1.4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Otros aprovechamientos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211,870,673</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6.1.4.1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Otros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211,870,673</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6.2</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Aprovechamientos Patrimoniales</w:t>
            </w:r>
          </w:p>
        </w:tc>
        <w:tc>
          <w:tcPr>
            <w:tcW w:w="1451" w:type="pct"/>
            <w:shd w:val="clear" w:color="auto" w:fill="auto"/>
            <w:noWrap/>
            <w:vAlign w:val="bottom"/>
            <w:hideMark/>
          </w:tcPr>
          <w:p w:rsidR="001B04B6" w:rsidRPr="00931C5D" w:rsidRDefault="001B04B6" w:rsidP="001B04B6">
            <w:pPr>
              <w:jc w:val="right"/>
              <w:rPr>
                <w:rFonts w:ascii="Arial" w:hAnsi="Arial" w:cs="Arial"/>
                <w:b/>
                <w:sz w:val="20"/>
                <w:szCs w:val="20"/>
              </w:rPr>
            </w:pPr>
            <w:r w:rsidRPr="00931C5D">
              <w:rPr>
                <w:rFonts w:ascii="Arial" w:hAnsi="Arial" w:cs="Arial"/>
                <w:b/>
                <w:sz w:val="20"/>
                <w:szCs w:val="20"/>
              </w:rPr>
              <w:t>1</w:t>
            </w:r>
          </w:p>
        </w:tc>
      </w:tr>
      <w:tr w:rsidR="001B04B6" w:rsidRPr="00931C5D" w:rsidTr="001B04B6">
        <w:trPr>
          <w:trHeight w:val="203"/>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6.2.1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Herencias, legados y donaciones que se hagan a favor del estado o instituciones que dependan de él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6.3</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Accesorios de Aprovechamientos</w:t>
            </w:r>
          </w:p>
        </w:tc>
        <w:tc>
          <w:tcPr>
            <w:tcW w:w="1451" w:type="pct"/>
            <w:shd w:val="clear" w:color="auto" w:fill="auto"/>
            <w:noWrap/>
            <w:vAlign w:val="bottom"/>
            <w:hideMark/>
          </w:tcPr>
          <w:p w:rsidR="001B04B6" w:rsidRPr="00931C5D" w:rsidRDefault="001B04B6" w:rsidP="001B04B6">
            <w:pPr>
              <w:jc w:val="right"/>
              <w:rPr>
                <w:rFonts w:ascii="Arial" w:hAnsi="Arial" w:cs="Arial"/>
                <w:b/>
                <w:sz w:val="20"/>
                <w:szCs w:val="20"/>
              </w:rPr>
            </w:pPr>
            <w:r w:rsidRPr="00931C5D">
              <w:rPr>
                <w:rFonts w:ascii="Arial" w:hAnsi="Arial" w:cs="Arial"/>
                <w:b/>
                <w:sz w:val="20"/>
                <w:szCs w:val="20"/>
              </w:rPr>
              <w:t>1,372,544</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6.3.1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Multas, recargos, gastos extraordinarios y otros accesorios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1,372,543</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6.3.2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Indemnizaciones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w:t>
            </w:r>
          </w:p>
        </w:tc>
      </w:tr>
      <w:tr w:rsidR="001B04B6" w:rsidRPr="00931C5D" w:rsidTr="001B04B6">
        <w:trPr>
          <w:trHeight w:val="195"/>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6.9</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Aprovechamientos no comprendidos en las fracciones de la Ley de Ingresos vigente, causadas en ejercicios fiscales anteriores pendientes de liquidación o pago</w:t>
            </w:r>
          </w:p>
        </w:tc>
        <w:tc>
          <w:tcPr>
            <w:tcW w:w="1451" w:type="pct"/>
            <w:shd w:val="clear" w:color="auto" w:fill="auto"/>
            <w:noWrap/>
            <w:vAlign w:val="bottom"/>
            <w:hideMark/>
          </w:tcPr>
          <w:p w:rsidR="001B04B6" w:rsidRPr="00931C5D" w:rsidRDefault="001B04B6" w:rsidP="001B04B6">
            <w:pPr>
              <w:jc w:val="right"/>
              <w:rPr>
                <w:rFonts w:ascii="Arial" w:hAnsi="Arial" w:cs="Arial"/>
                <w:b/>
                <w:sz w:val="20"/>
                <w:szCs w:val="20"/>
              </w:rPr>
            </w:pPr>
            <w:r w:rsidRPr="00931C5D">
              <w:rPr>
                <w:rFonts w:ascii="Arial" w:hAnsi="Arial" w:cs="Arial"/>
                <w:b/>
                <w:bCs/>
                <w:sz w:val="20"/>
                <w:szCs w:val="20"/>
              </w:rPr>
              <w:t>0</w:t>
            </w:r>
          </w:p>
        </w:tc>
      </w:tr>
      <w:tr w:rsidR="001B04B6" w:rsidRPr="00931C5D" w:rsidTr="001B04B6">
        <w:trPr>
          <w:trHeight w:val="305"/>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6.9.1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Aprovechamientos no comprendidos en las fracciones de la Ley de Ingresos vigente, causadas en ejercicios fiscales anteriores pendientes de liquidación o pago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D0CECE" w:fill="D0CECE"/>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7</w:t>
            </w:r>
          </w:p>
        </w:tc>
        <w:tc>
          <w:tcPr>
            <w:tcW w:w="2744" w:type="pct"/>
            <w:shd w:val="clear" w:color="D0CECE" w:fill="D0CECE"/>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Ingresos por ventas de bienes y servicios</w:t>
            </w:r>
          </w:p>
        </w:tc>
        <w:tc>
          <w:tcPr>
            <w:tcW w:w="1451" w:type="pct"/>
            <w:shd w:val="clear" w:color="D0CECE" w:fill="D0CECE"/>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2,026,363,842</w:t>
            </w:r>
          </w:p>
        </w:tc>
      </w:tr>
      <w:tr w:rsidR="001B04B6" w:rsidRPr="00931C5D" w:rsidTr="001B04B6">
        <w:trPr>
          <w:trHeight w:val="107"/>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7.1</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Ingresos por Venta de Bienes y Prestación de Servicios de Instituciones Públicas de Seguridad Social</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763,486,915</w:t>
            </w:r>
          </w:p>
        </w:tc>
      </w:tr>
      <w:tr w:rsidR="001B04B6" w:rsidRPr="00931C5D" w:rsidTr="001B04B6">
        <w:trPr>
          <w:trHeight w:val="171"/>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7.1.1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Ingreso por Venta de Bienes y Prestación de Servicios del Instituto de Seguridad Social de los Trabajadores del Estado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312,246,206</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7.1.2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Aplicación de reservas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451,240,709</w:t>
            </w:r>
          </w:p>
        </w:tc>
      </w:tr>
      <w:tr w:rsidR="001B04B6" w:rsidRPr="00931C5D" w:rsidTr="001B04B6">
        <w:trPr>
          <w:trHeight w:val="600"/>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7.2</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Ingresos por Venta de Bienes y Prestación de Servicios de Empresas Productivas del Estado</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0</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7.2.1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Ingresos por Venta de Bienes de Empresas Productivas del Estado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7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7.2.2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Ingresos por Prestación de Servicios de Empresas Productivas del Estado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70"/>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7.3</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Ingresos por Venta de Bienes y Prestación de Servicios de Entidades Paraestatales y Fideicomisos No Empresariales y No Financieros</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1,245,976,403</w:t>
            </w:r>
          </w:p>
        </w:tc>
      </w:tr>
      <w:tr w:rsidR="001B04B6" w:rsidRPr="00931C5D" w:rsidTr="001B04B6">
        <w:trPr>
          <w:trHeight w:val="7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Instituto para el Desarrollo de la Cultura Maya del Estado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Comisión Ejecutiva de Atención a Victimas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0</w:t>
            </w:r>
          </w:p>
        </w:tc>
      </w:tr>
      <w:tr w:rsidR="001B04B6" w:rsidRPr="00931C5D" w:rsidTr="001B04B6">
        <w:trPr>
          <w:trHeight w:val="6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Instituto para el Desarrollo y Certificación de la Infraestructura Física Educativa y Eléctrica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400,000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Instituto de Infraestructura Carretera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12,344,141</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7.3.5</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Junta de Agua Potable y Alcantarillado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458,368,479</w:t>
            </w:r>
          </w:p>
        </w:tc>
      </w:tr>
      <w:tr w:rsidR="001B04B6" w:rsidRPr="00931C5D" w:rsidTr="001B04B6">
        <w:trPr>
          <w:trHeight w:val="7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lastRenderedPageBreak/>
              <w:t>7.3.6</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Instituto para la Construcción y Conservación de Obra Pública en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90,000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7.3.7</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Instituto de Vivienda del Estado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380,497,924</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7.3.8</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Instituto del Deporte del Estado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4,174,438</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7.3.9</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Colegio de Bachilleres del Estado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38,333,250</w:t>
            </w:r>
          </w:p>
        </w:tc>
      </w:tr>
      <w:tr w:rsidR="001B04B6" w:rsidRPr="00931C5D" w:rsidTr="001B04B6">
        <w:trPr>
          <w:trHeight w:val="7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7.3.10</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Colegio de Estudios Científicos y Tecnológicos del Estado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2,023,200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7.3.11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Colegio de Educación Profesional Técnica del Estado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12,000,000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7.3.12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Instituto de Educación para Adultos del Estado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7.3.13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Instituto de Becas y Crédito Educativo del Estado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7.3.14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Instituto Yucateco de Emprendedores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3,854,528</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7.3.15</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Casa de las Artesanías del Estado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7,500,000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7.3.16</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Instituto Promotor de Ferias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85,084,093</w:t>
            </w:r>
          </w:p>
        </w:tc>
      </w:tr>
      <w:tr w:rsidR="001B04B6" w:rsidRPr="00931C5D" w:rsidTr="001B04B6">
        <w:trPr>
          <w:trHeight w:val="7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7.3.17</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Patronato de las Unidades de Servicios Culturales y Turísticos del Estado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51,652,345</w:t>
            </w:r>
          </w:p>
        </w:tc>
      </w:tr>
      <w:tr w:rsidR="001B04B6" w:rsidRPr="00931C5D" w:rsidTr="001B04B6">
        <w:trPr>
          <w:trHeight w:val="7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7.3.18</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Fideicomiso para el Desarrollo del Turismo de Reuniones en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18,609,749</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7.3.19</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Instituto de Movilidad y Desarrollo Urbano Territorial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5,417,737</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7.3.20</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Sistema para el Desarrollo Integral de la Familia en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11,381,910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7.3.21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Junta de Asistencia Privada del Estado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7.3.22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 xml:space="preserve">Hospital General de </w:t>
            </w:r>
            <w:proofErr w:type="spellStart"/>
            <w:r w:rsidRPr="00931C5D">
              <w:rPr>
                <w:rFonts w:ascii="Arial" w:hAnsi="Arial" w:cs="Arial"/>
                <w:sz w:val="20"/>
                <w:szCs w:val="20"/>
              </w:rPr>
              <w:t>Tekax</w:t>
            </w:r>
            <w:proofErr w:type="spellEnd"/>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7.3.23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Servicios de Salud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1,560,000</w:t>
            </w:r>
          </w:p>
        </w:tc>
      </w:tr>
      <w:tr w:rsidR="001B04B6" w:rsidRPr="00931C5D" w:rsidTr="001B04B6">
        <w:trPr>
          <w:trHeight w:val="147"/>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7.3.24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Administración del Patrimonio de la Beneficencia Pública del Estado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7.3.25</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Hospital de la Amistad</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11,089,662</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7.3.26</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 xml:space="preserve">Hospital Comunitario de </w:t>
            </w:r>
            <w:proofErr w:type="spellStart"/>
            <w:r w:rsidRPr="00931C5D">
              <w:rPr>
                <w:rFonts w:ascii="Arial" w:hAnsi="Arial" w:cs="Arial"/>
                <w:sz w:val="20"/>
                <w:szCs w:val="20"/>
              </w:rPr>
              <w:t>Ticul</w:t>
            </w:r>
            <w:proofErr w:type="spellEnd"/>
            <w:r w:rsidRPr="00931C5D">
              <w:rPr>
                <w:rFonts w:ascii="Arial" w:hAnsi="Arial" w:cs="Arial"/>
                <w:sz w:val="20"/>
                <w:szCs w:val="20"/>
              </w:rPr>
              <w:t xml:space="preserv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13,886,000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7.3.27</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Hospital Comunitario de Peto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10,942,691</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7.3.28</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Centro Estatal de Trasplantes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7.3.29</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Instituto de Seguridad Jurídica Patrimonial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7.3.30</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Fideicomiso Garante de la Orquesta Sinfónica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18,575,863</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7.3.31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Secretaría Técnica de Planeación y Evaluación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7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7.3.32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 xml:space="preserve">Fideicomiso Público para la Administración de la Reserva Territorial de </w:t>
            </w:r>
            <w:proofErr w:type="spellStart"/>
            <w:r w:rsidRPr="00931C5D">
              <w:rPr>
                <w:rFonts w:ascii="Arial" w:hAnsi="Arial" w:cs="Arial"/>
                <w:sz w:val="20"/>
                <w:szCs w:val="20"/>
              </w:rPr>
              <w:t>Ucú</w:t>
            </w:r>
            <w:proofErr w:type="spellEnd"/>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25,000,000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7.3.33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Escuela Superior de Artes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4,108,276</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7.3.34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Universidad Tecnológica Metropolitana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27,540,291</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lastRenderedPageBreak/>
              <w:t>7.3.35</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Instituto Tecnológico Superior de Valladolid</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5,820,641</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7.3.36</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Universidad Tecnológica del Centro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2,556,944</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7.3.37</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 xml:space="preserve">Universidad Tecnológica del </w:t>
            </w:r>
            <w:proofErr w:type="spellStart"/>
            <w:r w:rsidRPr="00931C5D">
              <w:rPr>
                <w:rFonts w:ascii="Arial" w:hAnsi="Arial" w:cs="Arial"/>
                <w:sz w:val="20"/>
                <w:szCs w:val="20"/>
              </w:rPr>
              <w:t>Mayab</w:t>
            </w:r>
            <w:proofErr w:type="spellEnd"/>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1,183,274</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7.3.38</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Universidad Tecnológica del Poniente</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1,919,071</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7.3.39</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Instituto Tecnológico Superior del Sur del Estado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3,800,096</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7.3.40</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 xml:space="preserve">Instituto Tecnológico Superior de </w:t>
            </w:r>
            <w:proofErr w:type="spellStart"/>
            <w:r w:rsidRPr="00931C5D">
              <w:rPr>
                <w:rFonts w:ascii="Arial" w:hAnsi="Arial" w:cs="Arial"/>
                <w:sz w:val="20"/>
                <w:szCs w:val="20"/>
              </w:rPr>
              <w:t>Motul</w:t>
            </w:r>
            <w:proofErr w:type="spellEnd"/>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3,800,000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7.3.41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Instituto Tecnológico Superior de Progreso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4,279,972</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7.3.42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Universidad de Oriente</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4,382,821</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7.3.43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Universidad Tecnológica Regional del Sur</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4,717,239</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7.3.44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Universidad Politécnica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5,516,850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7.3.45</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Agencia para el Desarrollo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7.3.46</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Instituto de Capacitación para el Trabajo del Estado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1,150,000</w:t>
            </w:r>
          </w:p>
        </w:tc>
      </w:tr>
      <w:tr w:rsidR="001B04B6" w:rsidRPr="00931C5D" w:rsidTr="001B04B6">
        <w:trPr>
          <w:trHeight w:val="7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7.3.47</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Fideicomiso Público para la Administración del Palacio de la Música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2,414,918</w:t>
            </w:r>
          </w:p>
        </w:tc>
      </w:tr>
      <w:tr w:rsidR="001B04B6" w:rsidRPr="00931C5D" w:rsidTr="001B04B6">
        <w:trPr>
          <w:trHeight w:val="7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7.3.48</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Instituto para la Inclusión de las Personas con Discapacidad del Estado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132"/>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7.4</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Ingresos por Venta de Bienes y Prestación de Servicios de Entidades Paraestatales Empresariales No Financieras con Participación Estatal Mayoritaria</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16,900,524</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7.4.2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Sistema Tele Yucatán S.A. de C.V.</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15,750,524</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7.4.3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Aeropuerto de Chichén Itzá de Yucatán S. A. de C.V.</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1,150,000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7.4.4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Empresa Portuaria Yucateca S. A. de C.V.</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298"/>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7.5</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Ingresos por Venta de Bienes y Prestación de Servicios de Entidades Paraestatales Empresariales Financieras Monetarias con Participación Estatal Mayoritaria</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0</w:t>
            </w:r>
          </w:p>
        </w:tc>
      </w:tr>
      <w:tr w:rsidR="001B04B6" w:rsidRPr="00931C5D" w:rsidTr="001B04B6">
        <w:trPr>
          <w:trHeight w:val="407"/>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7.5.1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Ingresos por Venta de Bienes y Prestación de Servicios de Sistema Tele Yucatán, S.A. de C.V.</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43"/>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7.5.2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Ingresos por Venta de Bienes y Prestación del Aeropuerto de Chichén Itzá del Estado de Yucatán, S.A. de C.V.</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7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7.5.3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Ingresos por Venta de Bienes y Prestación de la Empresa Portuaria Yucateca, S.A. de C.V.</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500"/>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7.6</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Ingresos por Venta de Bienes y Prestación de Servicios de Entidades Paraestatales Empresariales Financieras No Monetarias con Participación Estatal Mayoritaria</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0</w:t>
            </w:r>
          </w:p>
        </w:tc>
      </w:tr>
      <w:tr w:rsidR="001B04B6" w:rsidRPr="00931C5D" w:rsidTr="001B04B6">
        <w:trPr>
          <w:trHeight w:val="7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7.6.1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Ingresos por Venta de Bienes de Entidades Paraestatales Empresariales Financieras No Monetarias con Participación Estatal Mayoritaria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21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lastRenderedPageBreak/>
              <w:t>7.6.2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Ingresos por Prestación de Servicios de Entidades Paraestatales Empresariales Financieras No Monetarias con Participación Estatal Mayoritaria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70"/>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7.7</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Ingresos por Venta de Bienes y Prestación de Servicios de Fideicomisos Financieros Públicos con Participación Estatal Mayoritaria</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0</w:t>
            </w:r>
          </w:p>
        </w:tc>
      </w:tr>
      <w:tr w:rsidR="001B04B6" w:rsidRPr="00931C5D" w:rsidTr="001B04B6">
        <w:trPr>
          <w:trHeight w:val="7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7.7.1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Ingresos por Prestación de Servicios de Fideicomisos Financieros Públicos con Participación Estatal Mayoritaria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7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7.7.2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Ingresos por Venta de Bienes de Fideicomisos Financieros Públicos con Participación Estatal Mayoritaria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70"/>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7.8</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Ingresos por Venta de Bienes y Prestación de Servicios de los Poderes Legislativo y Judicial, y de los Órganos Autónomos</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7.8.1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Universidad Autónoma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7.8.2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Tribunal de Justicia Administrativa del Estado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70"/>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7.9</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Otros Ingresos</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0</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7.9.1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Otros ingresos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600"/>
          <w:jc w:val="center"/>
        </w:trPr>
        <w:tc>
          <w:tcPr>
            <w:tcW w:w="805" w:type="pct"/>
            <w:shd w:val="clear" w:color="D0CECE" w:fill="D0CECE"/>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8</w:t>
            </w:r>
          </w:p>
        </w:tc>
        <w:tc>
          <w:tcPr>
            <w:tcW w:w="2744" w:type="pct"/>
            <w:shd w:val="clear" w:color="D0CECE" w:fill="D0CECE"/>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Participaciones, Aportaciones, Convenios, Incentivos Derivados de la Colaboración Fiscal y Fondos Distintos de Aportaciones</w:t>
            </w:r>
          </w:p>
        </w:tc>
        <w:tc>
          <w:tcPr>
            <w:tcW w:w="1451" w:type="pct"/>
            <w:shd w:val="clear" w:color="D0CECE" w:fill="D0CECE"/>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35,350,884,840</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8.1</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Participaciones</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16,718,685,276</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8.1.1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General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12,306,916,907</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8.1.2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de Fomento Municipal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1,018,542,485</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8.1.3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Especial sobre Producción y Servicios (IEPS)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255,240,801</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8.1.4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de Compensación sobre Automóviles Nuevos (ISAN)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39,489,551</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8.1.5</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de Fiscalización y Recaudación (FOFIR)</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1,166,883,309</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8.1.6</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de Compensación (</w:t>
            </w:r>
            <w:proofErr w:type="spellStart"/>
            <w:r w:rsidRPr="00931C5D">
              <w:rPr>
                <w:rFonts w:ascii="Arial" w:hAnsi="Arial" w:cs="Arial"/>
                <w:sz w:val="20"/>
                <w:szCs w:val="20"/>
              </w:rPr>
              <w:t>Repecos</w:t>
            </w:r>
            <w:proofErr w:type="spellEnd"/>
            <w:r w:rsidRPr="00931C5D">
              <w:rPr>
                <w:rFonts w:ascii="Arial" w:hAnsi="Arial" w:cs="Arial"/>
                <w:sz w:val="20"/>
                <w:szCs w:val="20"/>
              </w:rPr>
              <w:t xml:space="preserve"> e Intermedios)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12,969,988</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8.1.7</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Venta final de gasolina y diésel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506,576,060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8.1.8</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ISR</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1,412,066,175</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8.1.8.1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ISR Estado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1,292,066,175</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8.1.8.2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ISR Municipios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120,000,000</w:t>
            </w:r>
          </w:p>
        </w:tc>
      </w:tr>
      <w:tr w:rsidR="001B04B6" w:rsidRPr="00931C5D" w:rsidTr="001B04B6">
        <w:trPr>
          <w:trHeight w:val="7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8.1.9</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de Estabilización de los ingresos de las Entidades Federativas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242"/>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8.1.9.1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de Estabilización de los ingresos de las Entidades Federativas por Fondo General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7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lastRenderedPageBreak/>
              <w:t>8.1.9.2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de Estabilización de los ingresos de las Entidades Federativas por Fondo de Fomento Municipal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99"/>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8.1.9.3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de Estabilización de los ingresos de las Entidades Federativas por Fondo de Fiscalización y Recaudación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274"/>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8.2</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Aportaciones</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15,061,319,925</w:t>
            </w:r>
          </w:p>
        </w:tc>
      </w:tr>
      <w:tr w:rsidR="001B04B6" w:rsidRPr="00931C5D" w:rsidTr="001B04B6">
        <w:trPr>
          <w:trHeight w:val="248"/>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8.2.1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de Aportaciones para la Nómina Educativa y Gasto Operativo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6,862,681,545</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8.2.2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de Aportaciones para los Servicios de Salud</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2,461,042,376</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8.2.3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de Aportaciones para la infraestructura Social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1,997,539,012</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8.2.3.1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de Aportaciones para la Infraestructura Social Municipales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1,755,408,285</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8.2.3.2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de Aportaciones para la Infraestructura Social Estatal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242,130,727</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8.2.4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de Aportaciones para el Fortalecimiento de los Municipios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1,738,751,058</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8.2.5</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de Aportaciones Múltiples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659,376,951</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8.2.5.1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Infraestructura Educativa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367,198,881</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8.2.5.1.1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Infraestructura Educativa Básica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210,867,136</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8.2.5.1.2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Infraestructura Educativa Superior</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139,342,900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8.2.5.1.3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Infraestructura Educativa Media Superior y Superior</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16,988,845</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8.2.5.2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Asistencia Social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292,178,070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8.2.6</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de Aportaciones para la Educación Tecnológica y de Adultos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206,861,888</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8.2.6.1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Educación Tecnológica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117,555,435</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8.2.6.2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Educación de Adultos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89,306,453</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8.2.7</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de Aportaciones para la Seguridad Pública de los Estados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177,684,703</w:t>
            </w:r>
          </w:p>
        </w:tc>
      </w:tr>
      <w:tr w:rsidR="001B04B6" w:rsidRPr="00931C5D" w:rsidTr="001B04B6">
        <w:trPr>
          <w:trHeight w:val="7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8.2.8</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de Aportaciones para el Fortalecimiento de las Entidades Federativas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957,382,392</w:t>
            </w:r>
          </w:p>
        </w:tc>
      </w:tr>
      <w:tr w:rsidR="001B04B6" w:rsidRPr="00931C5D" w:rsidTr="001B04B6">
        <w:trPr>
          <w:trHeight w:val="70"/>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8.3</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Convenios</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3,001,965,784</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8.3.1</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Salud</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874,073,445</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8.3.1.1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Prestación Gratuita de Servicios de Salud INSABI</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733,356,248</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8.3.1.2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 xml:space="preserve">Convenio Específico CRESCA </w:t>
            </w:r>
            <w:proofErr w:type="spellStart"/>
            <w:r w:rsidRPr="00931C5D">
              <w:rPr>
                <w:rFonts w:ascii="Arial" w:hAnsi="Arial" w:cs="Arial"/>
                <w:sz w:val="20"/>
                <w:szCs w:val="20"/>
              </w:rPr>
              <w:t>Conadic</w:t>
            </w:r>
            <w:proofErr w:type="spellEnd"/>
            <w:r w:rsidRPr="00931C5D">
              <w:rPr>
                <w:rFonts w:ascii="Arial" w:hAnsi="Arial" w:cs="Arial"/>
                <w:sz w:val="20"/>
                <w:szCs w:val="20"/>
              </w:rPr>
              <w:t xml:space="preserve"> </w:t>
            </w:r>
            <w:proofErr w:type="spellStart"/>
            <w:r w:rsidRPr="00931C5D">
              <w:rPr>
                <w:rFonts w:ascii="Arial" w:hAnsi="Arial" w:cs="Arial"/>
                <w:sz w:val="20"/>
                <w:szCs w:val="20"/>
              </w:rPr>
              <w:t>Cenadic</w:t>
            </w:r>
            <w:proofErr w:type="spellEnd"/>
            <w:r w:rsidRPr="00931C5D">
              <w:rPr>
                <w:rFonts w:ascii="Arial" w:hAnsi="Arial" w:cs="Arial"/>
                <w:sz w:val="20"/>
                <w:szCs w:val="20"/>
              </w:rPr>
              <w:t xml:space="preserve"> </w:t>
            </w:r>
            <w:proofErr w:type="spellStart"/>
            <w:r w:rsidRPr="00931C5D">
              <w:rPr>
                <w:rFonts w:ascii="Arial" w:hAnsi="Arial" w:cs="Arial"/>
                <w:sz w:val="20"/>
                <w:szCs w:val="20"/>
              </w:rPr>
              <w:t>Yuc</w:t>
            </w:r>
            <w:proofErr w:type="spellEnd"/>
            <w:r w:rsidRPr="00931C5D">
              <w:rPr>
                <w:rFonts w:ascii="Arial" w:hAnsi="Arial" w:cs="Arial"/>
                <w:sz w:val="20"/>
                <w:szCs w:val="20"/>
              </w:rPr>
              <w:t xml:space="preserve"> 001</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2,489,116</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8.3.1.3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de Protección contra riesgos catastróficos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8.3.1.4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Seguro Médico XXI</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7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8.3.1.5</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Acuerdo para el Fortalecimiento de las Acciones de Salud Pública en los Estados (AFASPE)</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46,996,231</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lastRenderedPageBreak/>
              <w:t>8.3.1.6</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Fortalecimiento a la Atención Médica (Caravanas)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7,662,239</w:t>
            </w:r>
          </w:p>
        </w:tc>
      </w:tr>
      <w:tr w:rsidR="001B04B6" w:rsidRPr="00931C5D" w:rsidTr="001B04B6">
        <w:trPr>
          <w:trHeight w:val="153"/>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8.3.1.7</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Comisión Federal para la Protección contra riesgos Sanitarios (COFEPRIS)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2,143,706</w:t>
            </w:r>
          </w:p>
        </w:tc>
      </w:tr>
      <w:tr w:rsidR="001B04B6" w:rsidRPr="00931C5D" w:rsidTr="001B04B6">
        <w:trPr>
          <w:trHeight w:val="313"/>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8.3.1.8</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de Estrategia Integral de Desarrollo Comunitario Comunidad Diferente</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8.3.1.9</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de Apoyo a las Instancias de Mujeres (PAIMEF)</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8,091,046</w:t>
            </w:r>
          </w:p>
        </w:tc>
      </w:tr>
      <w:tr w:rsidR="001B04B6" w:rsidRPr="00931C5D" w:rsidTr="001B04B6">
        <w:trPr>
          <w:trHeight w:val="225"/>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8.3.1.10</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de Fortalecimiento a la Transversalidad de la Perspectiva de Género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11,759,265</w:t>
            </w:r>
          </w:p>
        </w:tc>
      </w:tr>
      <w:tr w:rsidR="001B04B6" w:rsidRPr="00931C5D" w:rsidTr="001B04B6">
        <w:trPr>
          <w:trHeight w:val="289"/>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8.3.1.11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Atención a la Salud y Medicamentos Gratuitos para la población sin Seguridad Social Laboral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60,754,784</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8.3.1.12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Atención a personas con Discapacidad "Equipamiento"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820,810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8.3.1.13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Otros Convenios Salud</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8.3.2</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Educación</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2,030,772,823</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Convenio de Coordinación y Colaboración (CONADE)</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U080 Apoyos a centros y organizaciones de educación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1,350,000,000</w:t>
            </w:r>
          </w:p>
        </w:tc>
      </w:tr>
      <w:tr w:rsidR="001B04B6" w:rsidRPr="00931C5D" w:rsidTr="001B04B6">
        <w:trPr>
          <w:trHeight w:val="6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Gastos de operación para el Colegio de Estudios Científicos y Tecnológicos de Yucatán (CECYTEY)</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79,899,057</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Colegio de Bachilleres de Yucatán (COBAY)</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360,862,576</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8.3.2.5</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Nacional de Becas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8.3.2.6</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de Atención a la Demanda (IEAEY)</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8,458,242</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8.3.2.7</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Apoyos Financieros a la Universidad de Oriente</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16,480,681</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8.3.2.8</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Apoyos Financieros para la Universidad Tecnológica Metropolitana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53,830,830</w:t>
            </w:r>
          </w:p>
        </w:tc>
      </w:tr>
      <w:tr w:rsidR="001B04B6" w:rsidRPr="00931C5D" w:rsidTr="001B04B6">
        <w:trPr>
          <w:trHeight w:val="7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8.3.2.9</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Apoyos Financieros para la Universidad Tecnológica Regional del Sur</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17,863,091</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8.3.2.10</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Apoyos Financieros para la Universidad Tecnológica del Centro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10,568,402</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8.3.2.11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Apoyos Financieros para la Universidad Tecnológica del Poniente</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10,461,166</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8.3.2.12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 xml:space="preserve">Apoyos Financieros para la Universidad Tecnológica del </w:t>
            </w:r>
            <w:proofErr w:type="spellStart"/>
            <w:r w:rsidRPr="00931C5D">
              <w:rPr>
                <w:rFonts w:ascii="Arial" w:hAnsi="Arial" w:cs="Arial"/>
                <w:sz w:val="20"/>
                <w:szCs w:val="20"/>
              </w:rPr>
              <w:t>Mayab</w:t>
            </w:r>
            <w:proofErr w:type="spellEnd"/>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11,815,707</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8.3.2.13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de Mejoramiento del Profesorado (PROMEP)</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8.3.2.14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de Desarrollo Cultural Infantil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8.3.2.15</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Escuelas de Tiempo Completo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8.3.2.16</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Nacional de Inglés en la Educación Básica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15,550,634</w:t>
            </w:r>
          </w:p>
        </w:tc>
      </w:tr>
      <w:tr w:rsidR="001B04B6" w:rsidRPr="00931C5D" w:rsidTr="001B04B6">
        <w:trPr>
          <w:trHeight w:val="7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8.3.2.17</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para ampliar y diversificar la Oferta Educativa en Educación Superior (FADOE)</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175"/>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lastRenderedPageBreak/>
              <w:t>8.3.2.18</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Convenio de Apoyo Financiero para el Programa de Carrera Docente</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8.3.2.19</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Nacional de Fomento a la Lectura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8.3.2.20</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de Estímulo a la Creación y al Desarrollo Artístico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146"/>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8.3.2.21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de Apoyo a las Culturas Municipales y Comunitarias PACMYC</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650,658</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8.3.2.22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de Desarrollo Cultural Municipal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437"/>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8.3.2.23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Convenio de Coordinación para la creación, operación y apoyo financiero del ICATY</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6,251,544</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8.3.2.24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de Fortalecimiento de Calidad Educativa tipo básico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81"/>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8.3.2.25</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de Fortalecimiento de la Calidad en Instituciones Educativas (PROFOCIE)</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287"/>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8.3.2.26</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CONACYT (Convenio de Colaboración para el desarrollo del programa de estímulos a la investigación de desarrollos)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8.3.2.27</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Beca de Apoyo a la Práctica Intensiva y al servicio social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8.3.2.28</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C-291045.82/2016 Formación Temprana de Científicos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132"/>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8.3.2.29</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Institucional de Fomento Regional para el Desarrollo Científico, Tecnológico y de Innovación (FORDECYT)</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196"/>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8.3.2.30</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de Fortalecimiento de la Calidad Educativa (PACTEN)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69"/>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8.3.2.31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Apoyo solidario para la operación de la Universidad Politécnica del Estado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4,479,289</w:t>
            </w:r>
          </w:p>
        </w:tc>
      </w:tr>
      <w:tr w:rsidR="001B04B6" w:rsidRPr="00931C5D" w:rsidTr="001B04B6">
        <w:trPr>
          <w:trHeight w:val="7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8.3.2.32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de Inclusión y Equidad Educativa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264"/>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8.3.2.33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Convenio para la Operación del Programa Expansión de la Educación Inicial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4,051,956</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8.3.2.34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de la Reforma Educativa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265"/>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8.3.2.35</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 xml:space="preserve">Apoyo Financiero del Servicios Educativo Denominado </w:t>
            </w:r>
            <w:proofErr w:type="spellStart"/>
            <w:r w:rsidRPr="00931C5D">
              <w:rPr>
                <w:rFonts w:ascii="Arial" w:hAnsi="Arial" w:cs="Arial"/>
                <w:sz w:val="20"/>
                <w:szCs w:val="20"/>
              </w:rPr>
              <w:t>Telebachillerato</w:t>
            </w:r>
            <w:proofErr w:type="spellEnd"/>
            <w:r w:rsidRPr="00931C5D">
              <w:rPr>
                <w:rFonts w:ascii="Arial" w:hAnsi="Arial" w:cs="Arial"/>
                <w:sz w:val="20"/>
                <w:szCs w:val="20"/>
              </w:rPr>
              <w:t xml:space="preserve"> Comunitario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69,502,213</w:t>
            </w:r>
          </w:p>
        </w:tc>
      </w:tr>
      <w:tr w:rsidR="001B04B6" w:rsidRPr="00931C5D" w:rsidTr="001B04B6">
        <w:trPr>
          <w:trHeight w:val="75"/>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8.3.2.36</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para el Desarrollo Profesional Docente para la Educación Básica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1,421,582</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8.3.2.37</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nacional convivencia escolar</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8.3.2.38</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Fortalecimiento de la Excelencia Educativa PFCE</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2,624,801</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8.3.2.39</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Apoyo a Instituciones Estatales de Cultura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1,076,759</w:t>
            </w:r>
          </w:p>
        </w:tc>
      </w:tr>
      <w:tr w:rsidR="001B04B6" w:rsidRPr="00931C5D" w:rsidTr="001B04B6">
        <w:trPr>
          <w:trHeight w:val="147"/>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8.3.2.40</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Fortalecimiento de los servicios de educación especial 2020</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1,602,226</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8.3.2.41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Escuela Regional de Béisbol (Apoyo extraordinario)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8.3.2.42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Premio a Deportistas y Entrenadores Destacados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110,000</w:t>
            </w:r>
          </w:p>
        </w:tc>
      </w:tr>
      <w:tr w:rsidR="001B04B6" w:rsidRPr="00931C5D" w:rsidTr="001B04B6">
        <w:trPr>
          <w:trHeight w:val="7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lastRenderedPageBreak/>
              <w:t>8.3.2.43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Desarrollo de Aprendizajes significativos en Educación Básica 2020</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8.3.2.44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Atención a la Diversidad de la Educación Indígena 2020</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156"/>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8.3.2.45</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Becas de Apoyo a la Educación básica de madres jóvenes y jóvenes embarazadas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1,860,209</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8.3.2.46</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Apoyo Financiero a Institutos Tecnológicos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8.3.2.47</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de Cultura (Instituciones Estatales de Cultura)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1,351,200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8.3.2.48</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Proyectos de Cultura (PEF)</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8.3.2.49</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Otros Convenios Educación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8.3.3</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Económico</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8.3.3.1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Nacional del Empleo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204"/>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8.3.3.2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de Incubación de Empresas de Tecnología de Información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107"/>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8.3.3.3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para el Desarrollo de la Industria del Software (PROSOFT)</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7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8.3.3.4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Convenio de Colaboración de Apoyos del Fondo Nacional Emprendedor</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8.3.3.5</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Otros Convenios Económico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8.3.4</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Social y Humano</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50,984,820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8.3.4.1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proofErr w:type="spellStart"/>
            <w:r w:rsidRPr="00931C5D">
              <w:rPr>
                <w:rFonts w:ascii="Arial" w:hAnsi="Arial" w:cs="Arial"/>
                <w:sz w:val="20"/>
                <w:szCs w:val="20"/>
              </w:rPr>
              <w:t>Proagua</w:t>
            </w:r>
            <w:proofErr w:type="spellEnd"/>
            <w:r w:rsidRPr="00931C5D">
              <w:rPr>
                <w:rFonts w:ascii="Arial" w:hAnsi="Arial" w:cs="Arial"/>
                <w:sz w:val="20"/>
                <w:szCs w:val="20"/>
              </w:rPr>
              <w:t xml:space="preserve"> Agua Limpia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410,000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8.3.4.2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de Cultura del Agua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300,000</w:t>
            </w:r>
          </w:p>
        </w:tc>
      </w:tr>
      <w:tr w:rsidR="001B04B6" w:rsidRPr="00931C5D" w:rsidTr="001B04B6">
        <w:trPr>
          <w:trHeight w:val="7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8.3.4.3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de Desarrollo Integral para Organismos Operadores (PRODI)</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8.3.4.4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de Apoyo a la Vivienda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8.3.4.5</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de Infraestructura Indígena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8.3.4.6</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Espacios Poder Joven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8.3.4.7</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Red Nacional del Programa de Radio y Televisión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8.3.4.8</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de desarrollo integral de las comunidades indígenas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8.3.4.9</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proofErr w:type="spellStart"/>
            <w:r w:rsidRPr="00931C5D">
              <w:rPr>
                <w:rFonts w:ascii="Arial" w:hAnsi="Arial" w:cs="Arial"/>
                <w:sz w:val="20"/>
                <w:szCs w:val="20"/>
              </w:rPr>
              <w:t>Proagua</w:t>
            </w:r>
            <w:proofErr w:type="spellEnd"/>
            <w:r w:rsidRPr="00931C5D">
              <w:rPr>
                <w:rFonts w:ascii="Arial" w:hAnsi="Arial" w:cs="Arial"/>
                <w:sz w:val="20"/>
                <w:szCs w:val="20"/>
              </w:rPr>
              <w:t xml:space="preserve"> Rural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49,461,740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8.3.4.10</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Apartado Urbano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500,000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8.3.4.11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proofErr w:type="spellStart"/>
            <w:r w:rsidRPr="00931C5D">
              <w:rPr>
                <w:rFonts w:ascii="Arial" w:hAnsi="Arial" w:cs="Arial"/>
                <w:sz w:val="20"/>
                <w:szCs w:val="20"/>
              </w:rPr>
              <w:t>Proagua</w:t>
            </w:r>
            <w:proofErr w:type="spellEnd"/>
            <w:r w:rsidRPr="00931C5D">
              <w:rPr>
                <w:rFonts w:ascii="Arial" w:hAnsi="Arial" w:cs="Arial"/>
                <w:sz w:val="20"/>
                <w:szCs w:val="20"/>
              </w:rPr>
              <w:t xml:space="preserve"> agua limpia SARS-COV2 (COVID-19)</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8.3.4.12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UNESCO Fondo internacional para la Diversidad Cultural (FIDC)</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313,080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8.3.4.13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Otros Convenios Social y Humano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8.3.5</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Seguridad</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8.3.5.1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proofErr w:type="spellStart"/>
            <w:r w:rsidRPr="00931C5D">
              <w:rPr>
                <w:rFonts w:ascii="Arial" w:hAnsi="Arial" w:cs="Arial"/>
                <w:sz w:val="20"/>
                <w:szCs w:val="20"/>
              </w:rPr>
              <w:t>Fortaseg</w:t>
            </w:r>
            <w:proofErr w:type="spellEnd"/>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8.3.5.2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Otros Convenios Seguridad</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lastRenderedPageBreak/>
              <w:t>8.3.6</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Buen Gobierno</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5,134,696</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8.3.6.1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Armonización Contable</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1,247,484</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8.3.6.2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Modernización Integral del Registro Civil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1,241,348</w:t>
            </w:r>
          </w:p>
        </w:tc>
      </w:tr>
      <w:tr w:rsidR="001B04B6" w:rsidRPr="00931C5D" w:rsidTr="001B04B6">
        <w:trPr>
          <w:trHeight w:val="107"/>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8.3.6.3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Modernización y Vinculación Registral y Catastral del padrón Inmobiliario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138"/>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8.3.6.4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de Desarrollo Regional Turístico Sustentable y Pueblos Mágicos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8.3.6.5</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Agua Potable Drenaje y Tratamiento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8.3.6.6</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para el Bienestar y el Avance de las Mujeres (FOBAM)</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2,645,864</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8.3.6.7</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Otros Convenios Buen Gobierno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8.3.7</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Ramo 23</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8.3.7.1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de Accesibilidad para personas con Discapacidad</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8.3.7.2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Fideicomiso Fondo Metropolitano (FIFONMETRO)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8.3.7.3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Regional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8.3.7.4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Nacional de Infraestructura (FONADIN)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8.3.7.5</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 xml:space="preserve">Proyecto de Desarrollo Regional (Zona </w:t>
            </w:r>
            <w:proofErr w:type="spellStart"/>
            <w:r w:rsidRPr="00931C5D">
              <w:rPr>
                <w:rFonts w:ascii="Arial" w:hAnsi="Arial" w:cs="Arial"/>
                <w:sz w:val="20"/>
                <w:szCs w:val="20"/>
              </w:rPr>
              <w:t>Henequenera</w:t>
            </w:r>
            <w:proofErr w:type="spellEnd"/>
            <w:r w:rsidRPr="00931C5D">
              <w:rPr>
                <w:rFonts w:ascii="Arial" w:hAnsi="Arial" w:cs="Arial"/>
                <w:sz w:val="20"/>
                <w:szCs w:val="20"/>
              </w:rPr>
              <w:t>)</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8.3.7.6</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Fondo de Fortalecimiento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8.3.7.7</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5% Museos o Zonas Arqueológicas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8.3.7.8</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Subsidios para Contingencias Económicas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8.3.7.9</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Fideicomiso para la Infraestructura de los Estados (FIES)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83"/>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8.3.7.10</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de infraestructura en su vertiente ampliación mejoramiento de a la vivienda de la SEDATU</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8.3.7.11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Otros Convenios Ramo 23</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8.3.8</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Comunicación y Transporte</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8.3.8.1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Conservación y Estudios y Proyectos de Caminos Rurales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8.3.8.2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Otros Convenios Comunicación y Transporte</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8.3.9</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Agricultura, Ganadería, Desarrollo Rural, Pesca y Alimentación</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41,000,000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8.3.9.1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Impulso a la Capitalización Pesquera y Acuícola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8.3.9.2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Componente de Atención a Desastres Naturales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421"/>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8.3.9.3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Programa rehabilitación modernización tecnificada y equipamiento de unidades de riego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31,000,000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8.3.9.4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Prevención, Combate y Control de Incendios Forestales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8.3.9.5</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 xml:space="preserve">Programa de Apoyo a la Infraestructura </w:t>
            </w:r>
            <w:proofErr w:type="spellStart"/>
            <w:r w:rsidRPr="00931C5D">
              <w:rPr>
                <w:rFonts w:ascii="Arial" w:hAnsi="Arial" w:cs="Arial"/>
                <w:sz w:val="20"/>
                <w:szCs w:val="20"/>
              </w:rPr>
              <w:t>Hidroagrícola</w:t>
            </w:r>
            <w:proofErr w:type="spellEnd"/>
            <w:r w:rsidRPr="00931C5D">
              <w:rPr>
                <w:rFonts w:ascii="Arial" w:hAnsi="Arial" w:cs="Arial"/>
                <w:sz w:val="20"/>
                <w:szCs w:val="20"/>
              </w:rPr>
              <w:t xml:space="preserve"> CONAGUA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10,000,000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lastRenderedPageBreak/>
              <w:t>8.3.9.6</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Sembrando vida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8.3.9.7</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Sanidad e Inocuidad Agroalimentaria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8.3.9.8</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Otros Convenios AGDRPA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70"/>
          <w:jc w:val="center"/>
        </w:trPr>
        <w:tc>
          <w:tcPr>
            <w:tcW w:w="805"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8.4</w:t>
            </w:r>
          </w:p>
        </w:tc>
        <w:tc>
          <w:tcPr>
            <w:tcW w:w="2744" w:type="pct"/>
            <w:shd w:val="clear" w:color="auto" w:fill="auto"/>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Incentivos Derivados de la Colaboración Fiscal</w:t>
            </w:r>
          </w:p>
        </w:tc>
        <w:tc>
          <w:tcPr>
            <w:tcW w:w="1451" w:type="pct"/>
            <w:shd w:val="clear" w:color="auto" w:fill="auto"/>
            <w:noWrap/>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568,913,855</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8.4.1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Incentivos por colaboración Administrativa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568,913,855</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8.4.1.1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Impuestos Federales Administrados por el Estado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268,458,276</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8.4.1.1.1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 Impuestos sobre tenencia o uso de vehículos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8.4.1.1.2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b) Impuesto sobre automóviles nuevos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157,583,773</w:t>
            </w:r>
          </w:p>
        </w:tc>
      </w:tr>
      <w:tr w:rsidR="001B04B6" w:rsidRPr="00931C5D" w:rsidTr="001B04B6">
        <w:trPr>
          <w:trHeight w:val="186"/>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8.4.1.1.3</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c) Impuesto Especial Sobre Producción y Servicios a las gasolinas y diésel</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w:t>
            </w:r>
          </w:p>
        </w:tc>
      </w:tr>
      <w:tr w:rsidR="001B04B6" w:rsidRPr="00931C5D" w:rsidTr="001B04B6">
        <w:trPr>
          <w:trHeight w:val="488"/>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8.4.1.1.4</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d) Impuesto Sobre la Renta de quienes tributan en los términos del Capítulo IV del Título IV de la Ley del Impuesto Sobre la Renta respecto de la enajenación de terrenos construcciones o terrenos y construcciones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110,874,499</w:t>
            </w:r>
          </w:p>
        </w:tc>
      </w:tr>
      <w:tr w:rsidR="001B04B6" w:rsidRPr="00931C5D" w:rsidTr="001B04B6">
        <w:trPr>
          <w:trHeight w:val="108"/>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8.4.1.2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Incentivos y Multas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300,455,581</w:t>
            </w:r>
          </w:p>
        </w:tc>
      </w:tr>
      <w:tr w:rsidR="001B04B6" w:rsidRPr="00931C5D" w:rsidTr="001B04B6">
        <w:trPr>
          <w:trHeight w:val="83"/>
          <w:jc w:val="center"/>
        </w:trPr>
        <w:tc>
          <w:tcPr>
            <w:tcW w:w="805" w:type="pct"/>
            <w:shd w:val="clear" w:color="000000" w:fill="D0CECE"/>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9</w:t>
            </w:r>
          </w:p>
        </w:tc>
        <w:tc>
          <w:tcPr>
            <w:tcW w:w="2744" w:type="pct"/>
            <w:shd w:val="clear" w:color="000000" w:fill="D0CECE"/>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Transferencias, Asignaciones, Subsidios y Subvenciones, y Pensiones y Jubilaciones</w:t>
            </w:r>
          </w:p>
        </w:tc>
        <w:tc>
          <w:tcPr>
            <w:tcW w:w="1451" w:type="pct"/>
            <w:shd w:val="clear" w:color="000000" w:fill="D0CECE"/>
            <w:vAlign w:val="bottom"/>
            <w:hideMark/>
          </w:tcPr>
          <w:p w:rsidR="001B04B6" w:rsidRPr="00931C5D" w:rsidRDefault="001B04B6" w:rsidP="001B04B6">
            <w:pPr>
              <w:jc w:val="right"/>
              <w:rPr>
                <w:rFonts w:ascii="Arial" w:hAnsi="Arial" w:cs="Arial"/>
                <w:b/>
                <w:bCs/>
                <w:sz w:val="20"/>
                <w:szCs w:val="20"/>
              </w:rPr>
            </w:pPr>
            <w:r w:rsidRPr="00931C5D">
              <w:rPr>
                <w:rFonts w:ascii="Arial" w:hAnsi="Arial" w:cs="Arial"/>
                <w:b/>
                <w:bCs/>
                <w:sz w:val="20"/>
                <w:szCs w:val="20"/>
              </w:rPr>
              <w:t>2,174,094,546</w:t>
            </w:r>
          </w:p>
        </w:tc>
      </w:tr>
      <w:tr w:rsidR="001B04B6" w:rsidRPr="00931C5D" w:rsidTr="001B04B6">
        <w:trPr>
          <w:trHeight w:val="191"/>
          <w:jc w:val="center"/>
        </w:trPr>
        <w:tc>
          <w:tcPr>
            <w:tcW w:w="805" w:type="pct"/>
            <w:shd w:val="clear" w:color="auto" w:fill="auto"/>
            <w:vAlign w:val="bottom"/>
            <w:hideMark/>
          </w:tcPr>
          <w:p w:rsidR="001B04B6" w:rsidRPr="00931C5D" w:rsidRDefault="001B04B6" w:rsidP="001B04B6">
            <w:pPr>
              <w:ind w:left="72"/>
              <w:rPr>
                <w:rFonts w:ascii="Arial" w:hAnsi="Arial" w:cs="Arial"/>
                <w:b/>
                <w:sz w:val="20"/>
                <w:szCs w:val="20"/>
              </w:rPr>
            </w:pPr>
            <w:r w:rsidRPr="00931C5D">
              <w:rPr>
                <w:rFonts w:ascii="Arial" w:hAnsi="Arial" w:cs="Arial"/>
                <w:b/>
                <w:sz w:val="20"/>
                <w:szCs w:val="20"/>
              </w:rPr>
              <w:t>9.1</w:t>
            </w:r>
          </w:p>
        </w:tc>
        <w:tc>
          <w:tcPr>
            <w:tcW w:w="2744" w:type="pct"/>
            <w:shd w:val="clear" w:color="auto" w:fill="auto"/>
            <w:vAlign w:val="bottom"/>
            <w:hideMark/>
          </w:tcPr>
          <w:p w:rsidR="001B04B6" w:rsidRPr="00931C5D" w:rsidRDefault="001B04B6" w:rsidP="001B04B6">
            <w:pPr>
              <w:ind w:left="72"/>
              <w:rPr>
                <w:rFonts w:ascii="Arial" w:hAnsi="Arial" w:cs="Arial"/>
                <w:b/>
                <w:sz w:val="20"/>
                <w:szCs w:val="20"/>
              </w:rPr>
            </w:pPr>
            <w:r w:rsidRPr="00931C5D">
              <w:rPr>
                <w:rFonts w:ascii="Arial" w:hAnsi="Arial" w:cs="Arial"/>
                <w:b/>
                <w:sz w:val="20"/>
                <w:szCs w:val="20"/>
              </w:rPr>
              <w:t>Transferencias y Asignaciones</w:t>
            </w:r>
          </w:p>
        </w:tc>
        <w:tc>
          <w:tcPr>
            <w:tcW w:w="1451" w:type="pct"/>
            <w:shd w:val="clear" w:color="auto" w:fill="auto"/>
            <w:noWrap/>
            <w:vAlign w:val="bottom"/>
            <w:hideMark/>
          </w:tcPr>
          <w:p w:rsidR="001B04B6" w:rsidRPr="00931C5D" w:rsidRDefault="001B04B6" w:rsidP="001B04B6">
            <w:pPr>
              <w:jc w:val="right"/>
              <w:rPr>
                <w:rFonts w:ascii="Arial" w:hAnsi="Arial" w:cs="Arial"/>
                <w:b/>
                <w:sz w:val="20"/>
                <w:szCs w:val="20"/>
              </w:rPr>
            </w:pPr>
            <w:r w:rsidRPr="00931C5D">
              <w:rPr>
                <w:rFonts w:ascii="Arial" w:hAnsi="Arial" w:cs="Arial"/>
                <w:b/>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9.1.1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Transferencias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9.1.2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Asignaciones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b/>
                <w:sz w:val="20"/>
                <w:szCs w:val="20"/>
              </w:rPr>
            </w:pPr>
            <w:r w:rsidRPr="00931C5D">
              <w:rPr>
                <w:rFonts w:ascii="Arial" w:hAnsi="Arial" w:cs="Arial"/>
                <w:b/>
                <w:sz w:val="20"/>
                <w:szCs w:val="20"/>
              </w:rPr>
              <w:t>9.3</w:t>
            </w:r>
          </w:p>
        </w:tc>
        <w:tc>
          <w:tcPr>
            <w:tcW w:w="2744" w:type="pct"/>
            <w:shd w:val="clear" w:color="auto" w:fill="auto"/>
            <w:vAlign w:val="bottom"/>
            <w:hideMark/>
          </w:tcPr>
          <w:p w:rsidR="001B04B6" w:rsidRPr="00931C5D" w:rsidRDefault="001B04B6" w:rsidP="001B04B6">
            <w:pPr>
              <w:ind w:left="72"/>
              <w:rPr>
                <w:rFonts w:ascii="Arial" w:hAnsi="Arial" w:cs="Arial"/>
                <w:b/>
                <w:sz w:val="20"/>
                <w:szCs w:val="20"/>
              </w:rPr>
            </w:pPr>
            <w:r w:rsidRPr="00931C5D">
              <w:rPr>
                <w:rFonts w:ascii="Arial" w:hAnsi="Arial" w:cs="Arial"/>
                <w:b/>
                <w:sz w:val="20"/>
                <w:szCs w:val="20"/>
              </w:rPr>
              <w:t>Subsidios y Subvenciones</w:t>
            </w:r>
          </w:p>
        </w:tc>
        <w:tc>
          <w:tcPr>
            <w:tcW w:w="1451" w:type="pct"/>
            <w:shd w:val="clear" w:color="auto" w:fill="auto"/>
            <w:noWrap/>
            <w:vAlign w:val="bottom"/>
            <w:hideMark/>
          </w:tcPr>
          <w:p w:rsidR="001B04B6" w:rsidRPr="00931C5D" w:rsidRDefault="001B04B6" w:rsidP="001B04B6">
            <w:pPr>
              <w:jc w:val="right"/>
              <w:rPr>
                <w:rFonts w:ascii="Arial" w:hAnsi="Arial" w:cs="Arial"/>
                <w:b/>
                <w:sz w:val="20"/>
                <w:szCs w:val="20"/>
              </w:rPr>
            </w:pPr>
            <w:r w:rsidRPr="00931C5D">
              <w:rPr>
                <w:rFonts w:ascii="Arial" w:hAnsi="Arial" w:cs="Arial"/>
                <w:b/>
                <w:sz w:val="20"/>
                <w:szCs w:val="20"/>
              </w:rPr>
              <w:t>2,174,094,546</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9.3.1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Universidad Autónoma de Yucatán</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sz w:val="20"/>
                <w:szCs w:val="20"/>
              </w:rPr>
              <w:t>2,174,094,546</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b/>
                <w:sz w:val="20"/>
                <w:szCs w:val="20"/>
              </w:rPr>
            </w:pPr>
            <w:r w:rsidRPr="00931C5D">
              <w:rPr>
                <w:rFonts w:ascii="Arial" w:hAnsi="Arial" w:cs="Arial"/>
                <w:b/>
                <w:sz w:val="20"/>
                <w:szCs w:val="20"/>
              </w:rPr>
              <w:t>9.5</w:t>
            </w:r>
          </w:p>
        </w:tc>
        <w:tc>
          <w:tcPr>
            <w:tcW w:w="2744" w:type="pct"/>
            <w:shd w:val="clear" w:color="auto" w:fill="auto"/>
            <w:vAlign w:val="bottom"/>
            <w:hideMark/>
          </w:tcPr>
          <w:p w:rsidR="001B04B6" w:rsidRPr="00931C5D" w:rsidRDefault="001B04B6" w:rsidP="001B04B6">
            <w:pPr>
              <w:ind w:left="72"/>
              <w:rPr>
                <w:rFonts w:ascii="Arial" w:hAnsi="Arial" w:cs="Arial"/>
                <w:b/>
                <w:sz w:val="20"/>
                <w:szCs w:val="20"/>
              </w:rPr>
            </w:pPr>
            <w:r w:rsidRPr="00931C5D">
              <w:rPr>
                <w:rFonts w:ascii="Arial" w:hAnsi="Arial" w:cs="Arial"/>
                <w:b/>
                <w:sz w:val="20"/>
                <w:szCs w:val="20"/>
              </w:rPr>
              <w:t>Pensiones y Jubilaciones</w:t>
            </w:r>
          </w:p>
        </w:tc>
        <w:tc>
          <w:tcPr>
            <w:tcW w:w="1451" w:type="pct"/>
            <w:shd w:val="clear" w:color="auto" w:fill="auto"/>
            <w:noWrap/>
            <w:vAlign w:val="bottom"/>
            <w:hideMark/>
          </w:tcPr>
          <w:p w:rsidR="001B04B6" w:rsidRPr="00931C5D" w:rsidRDefault="001B04B6" w:rsidP="001B04B6">
            <w:pPr>
              <w:jc w:val="right"/>
              <w:rPr>
                <w:rFonts w:ascii="Arial" w:hAnsi="Arial" w:cs="Arial"/>
                <w:b/>
                <w:sz w:val="20"/>
                <w:szCs w:val="20"/>
              </w:rPr>
            </w:pPr>
            <w:r w:rsidRPr="00931C5D">
              <w:rPr>
                <w:rFonts w:ascii="Arial" w:hAnsi="Arial" w:cs="Arial"/>
                <w:b/>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9.5.1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Pensiones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9.5.2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Jubilaciones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37"/>
          <w:jc w:val="center"/>
        </w:trPr>
        <w:tc>
          <w:tcPr>
            <w:tcW w:w="805" w:type="pct"/>
            <w:shd w:val="clear" w:color="auto" w:fill="auto"/>
            <w:vAlign w:val="bottom"/>
            <w:hideMark/>
          </w:tcPr>
          <w:p w:rsidR="001B04B6" w:rsidRPr="00931C5D" w:rsidRDefault="001B04B6" w:rsidP="001B04B6">
            <w:pPr>
              <w:ind w:left="72"/>
              <w:rPr>
                <w:rFonts w:ascii="Arial" w:hAnsi="Arial" w:cs="Arial"/>
                <w:b/>
                <w:sz w:val="20"/>
                <w:szCs w:val="20"/>
              </w:rPr>
            </w:pPr>
            <w:r w:rsidRPr="00931C5D">
              <w:rPr>
                <w:rFonts w:ascii="Arial" w:hAnsi="Arial" w:cs="Arial"/>
                <w:b/>
                <w:sz w:val="20"/>
                <w:szCs w:val="20"/>
              </w:rPr>
              <w:t>9.7</w:t>
            </w:r>
          </w:p>
        </w:tc>
        <w:tc>
          <w:tcPr>
            <w:tcW w:w="2744" w:type="pct"/>
            <w:shd w:val="clear" w:color="auto" w:fill="auto"/>
            <w:vAlign w:val="bottom"/>
            <w:hideMark/>
          </w:tcPr>
          <w:p w:rsidR="001B04B6" w:rsidRPr="00931C5D" w:rsidRDefault="001B04B6" w:rsidP="001B04B6">
            <w:pPr>
              <w:ind w:left="72"/>
              <w:rPr>
                <w:rFonts w:ascii="Arial" w:hAnsi="Arial" w:cs="Arial"/>
                <w:b/>
                <w:sz w:val="20"/>
                <w:szCs w:val="20"/>
              </w:rPr>
            </w:pPr>
            <w:r w:rsidRPr="00931C5D">
              <w:rPr>
                <w:rFonts w:ascii="Arial" w:hAnsi="Arial" w:cs="Arial"/>
                <w:b/>
                <w:sz w:val="20"/>
                <w:szCs w:val="20"/>
              </w:rPr>
              <w:t>Transferencias del Fondo Mexicano del Petróleo para la Estabilización y el Desarrollo</w:t>
            </w:r>
          </w:p>
        </w:tc>
        <w:tc>
          <w:tcPr>
            <w:tcW w:w="1451" w:type="pct"/>
            <w:shd w:val="clear" w:color="auto" w:fill="auto"/>
            <w:noWrap/>
            <w:vAlign w:val="bottom"/>
            <w:hideMark/>
          </w:tcPr>
          <w:p w:rsidR="001B04B6" w:rsidRPr="00931C5D" w:rsidRDefault="001B04B6" w:rsidP="001B04B6">
            <w:pPr>
              <w:jc w:val="right"/>
              <w:rPr>
                <w:rFonts w:ascii="Arial" w:hAnsi="Arial" w:cs="Arial"/>
                <w:b/>
                <w:sz w:val="20"/>
                <w:szCs w:val="20"/>
              </w:rPr>
            </w:pPr>
            <w:r w:rsidRPr="00931C5D">
              <w:rPr>
                <w:rFonts w:ascii="Arial" w:hAnsi="Arial" w:cs="Arial"/>
                <w:b/>
                <w:bCs/>
                <w:sz w:val="20"/>
                <w:szCs w:val="20"/>
              </w:rPr>
              <w:t>0</w:t>
            </w:r>
          </w:p>
        </w:tc>
      </w:tr>
      <w:tr w:rsidR="001B04B6" w:rsidRPr="00931C5D" w:rsidTr="001B04B6">
        <w:trPr>
          <w:trHeight w:val="7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9.7.1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Transferencias del Fondo Mexicano del Petróleo para la Estabilización y el Desarrollo</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000000" w:fill="D0CECE"/>
            <w:noWrap/>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0</w:t>
            </w:r>
          </w:p>
        </w:tc>
        <w:tc>
          <w:tcPr>
            <w:tcW w:w="2744" w:type="pct"/>
            <w:shd w:val="clear" w:color="000000" w:fill="D0CECE"/>
            <w:vAlign w:val="bottom"/>
            <w:hideMark/>
          </w:tcPr>
          <w:p w:rsidR="001B04B6" w:rsidRPr="00931C5D" w:rsidRDefault="001B04B6" w:rsidP="001B04B6">
            <w:pPr>
              <w:ind w:left="72"/>
              <w:rPr>
                <w:rFonts w:ascii="Arial" w:hAnsi="Arial" w:cs="Arial"/>
                <w:b/>
                <w:bCs/>
                <w:sz w:val="20"/>
                <w:szCs w:val="20"/>
              </w:rPr>
            </w:pPr>
            <w:r w:rsidRPr="00931C5D">
              <w:rPr>
                <w:rFonts w:ascii="Arial" w:hAnsi="Arial" w:cs="Arial"/>
                <w:b/>
                <w:bCs/>
                <w:sz w:val="20"/>
                <w:szCs w:val="20"/>
              </w:rPr>
              <w:t>Ingresos Derivados de Financiamientos</w:t>
            </w:r>
          </w:p>
        </w:tc>
        <w:tc>
          <w:tcPr>
            <w:tcW w:w="1451" w:type="pct"/>
            <w:shd w:val="clear" w:color="000000" w:fill="D0CECE"/>
            <w:vAlign w:val="bottom"/>
            <w:hideMark/>
          </w:tcPr>
          <w:p w:rsidR="00464E66" w:rsidRPr="00464E66" w:rsidRDefault="00464E66" w:rsidP="001B04B6">
            <w:pPr>
              <w:jc w:val="right"/>
              <w:rPr>
                <w:rFonts w:ascii="Arial" w:hAnsi="Arial" w:cs="Arial"/>
                <w:b/>
                <w:i/>
                <w:color w:val="002060"/>
                <w:sz w:val="20"/>
                <w:szCs w:val="20"/>
              </w:rPr>
            </w:pPr>
            <w:r w:rsidRPr="00464E66">
              <w:rPr>
                <w:rFonts w:ascii="Arial" w:hAnsi="Arial" w:cs="Arial"/>
                <w:b/>
                <w:sz w:val="20"/>
                <w:szCs w:val="20"/>
              </w:rPr>
              <w:t>1,735,000,000</w:t>
            </w:r>
          </w:p>
          <w:p w:rsidR="001B04B6" w:rsidRPr="00931C5D" w:rsidRDefault="00464E66" w:rsidP="001B04B6">
            <w:pPr>
              <w:jc w:val="right"/>
              <w:rPr>
                <w:rFonts w:ascii="Arial" w:hAnsi="Arial" w:cs="Arial"/>
                <w:b/>
                <w:bCs/>
                <w:sz w:val="20"/>
                <w:szCs w:val="20"/>
              </w:rPr>
            </w:pPr>
            <w:r w:rsidRPr="00733A25">
              <w:rPr>
                <w:i/>
                <w:color w:val="002060"/>
                <w:sz w:val="16"/>
                <w:szCs w:val="16"/>
              </w:rPr>
              <w:t>Monto reformado D.O. 30/06/2022</w:t>
            </w:r>
          </w:p>
        </w:tc>
      </w:tr>
      <w:tr w:rsidR="001B04B6" w:rsidRPr="00931C5D" w:rsidTr="001B04B6">
        <w:trPr>
          <w:trHeight w:val="146"/>
          <w:jc w:val="center"/>
        </w:trPr>
        <w:tc>
          <w:tcPr>
            <w:tcW w:w="805" w:type="pct"/>
            <w:shd w:val="clear" w:color="auto" w:fill="auto"/>
            <w:vAlign w:val="bottom"/>
            <w:hideMark/>
          </w:tcPr>
          <w:p w:rsidR="001B04B6" w:rsidRPr="00931C5D" w:rsidRDefault="001B04B6" w:rsidP="001B04B6">
            <w:pPr>
              <w:ind w:left="72"/>
              <w:rPr>
                <w:rFonts w:ascii="Arial" w:hAnsi="Arial" w:cs="Arial"/>
                <w:b/>
                <w:sz w:val="20"/>
                <w:szCs w:val="20"/>
              </w:rPr>
            </w:pPr>
            <w:r w:rsidRPr="00931C5D">
              <w:rPr>
                <w:rFonts w:ascii="Arial" w:hAnsi="Arial" w:cs="Arial"/>
                <w:b/>
                <w:sz w:val="20"/>
                <w:szCs w:val="20"/>
              </w:rPr>
              <w:t>0.1</w:t>
            </w:r>
          </w:p>
        </w:tc>
        <w:tc>
          <w:tcPr>
            <w:tcW w:w="2744" w:type="pct"/>
            <w:shd w:val="clear" w:color="auto" w:fill="auto"/>
            <w:vAlign w:val="bottom"/>
            <w:hideMark/>
          </w:tcPr>
          <w:p w:rsidR="001B04B6" w:rsidRPr="00931C5D" w:rsidRDefault="001B04B6" w:rsidP="001B04B6">
            <w:pPr>
              <w:ind w:left="72"/>
              <w:rPr>
                <w:rFonts w:ascii="Arial" w:hAnsi="Arial" w:cs="Arial"/>
                <w:b/>
                <w:sz w:val="20"/>
                <w:szCs w:val="20"/>
              </w:rPr>
            </w:pPr>
            <w:r w:rsidRPr="00931C5D">
              <w:rPr>
                <w:rFonts w:ascii="Arial" w:hAnsi="Arial" w:cs="Arial"/>
                <w:b/>
                <w:sz w:val="20"/>
                <w:szCs w:val="20"/>
              </w:rPr>
              <w:t>Endeudamiento Interno</w:t>
            </w:r>
          </w:p>
        </w:tc>
        <w:tc>
          <w:tcPr>
            <w:tcW w:w="1451" w:type="pct"/>
            <w:shd w:val="clear" w:color="auto" w:fill="auto"/>
            <w:noWrap/>
            <w:vAlign w:val="bottom"/>
            <w:hideMark/>
          </w:tcPr>
          <w:p w:rsidR="001B04B6" w:rsidRPr="00931C5D" w:rsidRDefault="001B04B6" w:rsidP="001B04B6">
            <w:pPr>
              <w:jc w:val="right"/>
              <w:rPr>
                <w:rFonts w:ascii="Arial" w:hAnsi="Arial" w:cs="Arial"/>
                <w:b/>
                <w:sz w:val="20"/>
                <w:szCs w:val="20"/>
              </w:rPr>
            </w:pPr>
            <w:r w:rsidRPr="00931C5D">
              <w:rPr>
                <w:rFonts w:ascii="Arial" w:hAnsi="Arial" w:cs="Arial"/>
                <w:b/>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0.1.1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Empréstitos con Fuente de Pago de Participaciones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0.1.2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Empréstitos con Fuente de Pago de Aportaciones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b/>
                <w:sz w:val="20"/>
                <w:szCs w:val="20"/>
              </w:rPr>
            </w:pPr>
            <w:r w:rsidRPr="00931C5D">
              <w:rPr>
                <w:rFonts w:ascii="Arial" w:hAnsi="Arial" w:cs="Arial"/>
                <w:b/>
                <w:sz w:val="20"/>
                <w:szCs w:val="20"/>
              </w:rPr>
              <w:t>0.2</w:t>
            </w:r>
          </w:p>
        </w:tc>
        <w:tc>
          <w:tcPr>
            <w:tcW w:w="2744" w:type="pct"/>
            <w:shd w:val="clear" w:color="auto" w:fill="auto"/>
            <w:vAlign w:val="bottom"/>
            <w:hideMark/>
          </w:tcPr>
          <w:p w:rsidR="001B04B6" w:rsidRPr="00931C5D" w:rsidRDefault="001B04B6" w:rsidP="001B04B6">
            <w:pPr>
              <w:ind w:left="72"/>
              <w:rPr>
                <w:rFonts w:ascii="Arial" w:hAnsi="Arial" w:cs="Arial"/>
                <w:b/>
                <w:sz w:val="20"/>
                <w:szCs w:val="20"/>
              </w:rPr>
            </w:pPr>
            <w:r w:rsidRPr="00931C5D">
              <w:rPr>
                <w:rFonts w:ascii="Arial" w:hAnsi="Arial" w:cs="Arial"/>
                <w:b/>
                <w:sz w:val="20"/>
                <w:szCs w:val="20"/>
              </w:rPr>
              <w:t>Endeudamiento Externo</w:t>
            </w:r>
          </w:p>
        </w:tc>
        <w:tc>
          <w:tcPr>
            <w:tcW w:w="1451" w:type="pct"/>
            <w:shd w:val="clear" w:color="auto" w:fill="auto"/>
            <w:noWrap/>
            <w:vAlign w:val="bottom"/>
            <w:hideMark/>
          </w:tcPr>
          <w:p w:rsidR="001B04B6" w:rsidRPr="00931C5D" w:rsidRDefault="001B04B6" w:rsidP="001B04B6">
            <w:pPr>
              <w:jc w:val="right"/>
              <w:rPr>
                <w:rFonts w:ascii="Arial" w:hAnsi="Arial" w:cs="Arial"/>
                <w:b/>
                <w:sz w:val="20"/>
                <w:szCs w:val="20"/>
              </w:rPr>
            </w:pPr>
            <w:r w:rsidRPr="00931C5D">
              <w:rPr>
                <w:rFonts w:ascii="Arial" w:hAnsi="Arial" w:cs="Arial"/>
                <w:b/>
                <w:bCs/>
                <w:sz w:val="20"/>
                <w:szCs w:val="20"/>
              </w:rPr>
              <w:t>0</w:t>
            </w:r>
          </w:p>
        </w:tc>
      </w:tr>
      <w:tr w:rsidR="001B04B6" w:rsidRPr="00931C5D" w:rsidTr="001B04B6">
        <w:trPr>
          <w:trHeight w:val="7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0.2.1</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Empréstitos con Fuente de Pago de Participaciones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0.2.2</w:t>
            </w:r>
          </w:p>
        </w:tc>
        <w:tc>
          <w:tcPr>
            <w:tcW w:w="2744"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Empréstitos con Fuente de Pago de Aportaciones</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r w:rsidR="001B04B6" w:rsidRPr="00931C5D" w:rsidTr="001B04B6">
        <w:trPr>
          <w:trHeight w:val="70"/>
          <w:jc w:val="center"/>
        </w:trPr>
        <w:tc>
          <w:tcPr>
            <w:tcW w:w="805" w:type="pct"/>
            <w:shd w:val="clear" w:color="auto" w:fill="auto"/>
            <w:vAlign w:val="bottom"/>
            <w:hideMark/>
          </w:tcPr>
          <w:p w:rsidR="001B04B6" w:rsidRPr="00931C5D" w:rsidRDefault="001B04B6" w:rsidP="001B04B6">
            <w:pPr>
              <w:ind w:left="72"/>
              <w:rPr>
                <w:rFonts w:ascii="Arial" w:hAnsi="Arial" w:cs="Arial"/>
                <w:b/>
                <w:sz w:val="20"/>
                <w:szCs w:val="20"/>
              </w:rPr>
            </w:pPr>
            <w:r w:rsidRPr="00931C5D">
              <w:rPr>
                <w:rFonts w:ascii="Arial" w:hAnsi="Arial" w:cs="Arial"/>
                <w:b/>
                <w:sz w:val="20"/>
                <w:szCs w:val="20"/>
              </w:rPr>
              <w:lastRenderedPageBreak/>
              <w:t>0.3</w:t>
            </w:r>
          </w:p>
        </w:tc>
        <w:tc>
          <w:tcPr>
            <w:tcW w:w="2744" w:type="pct"/>
            <w:shd w:val="clear" w:color="auto" w:fill="auto"/>
            <w:vAlign w:val="bottom"/>
            <w:hideMark/>
          </w:tcPr>
          <w:p w:rsidR="001B04B6" w:rsidRPr="00931C5D" w:rsidRDefault="001B04B6" w:rsidP="001B04B6">
            <w:pPr>
              <w:ind w:left="72"/>
              <w:rPr>
                <w:rFonts w:ascii="Arial" w:hAnsi="Arial" w:cs="Arial"/>
                <w:b/>
                <w:sz w:val="20"/>
                <w:szCs w:val="20"/>
              </w:rPr>
            </w:pPr>
            <w:r w:rsidRPr="00931C5D">
              <w:rPr>
                <w:rFonts w:ascii="Arial" w:hAnsi="Arial" w:cs="Arial"/>
                <w:b/>
                <w:sz w:val="20"/>
                <w:szCs w:val="20"/>
              </w:rPr>
              <w:t>Financiamiento Interno</w:t>
            </w:r>
          </w:p>
        </w:tc>
        <w:tc>
          <w:tcPr>
            <w:tcW w:w="1451" w:type="pct"/>
            <w:shd w:val="clear" w:color="auto" w:fill="auto"/>
            <w:noWrap/>
            <w:vAlign w:val="bottom"/>
            <w:hideMark/>
          </w:tcPr>
          <w:p w:rsidR="00F82C78" w:rsidRPr="00861B5F" w:rsidRDefault="00F82C78" w:rsidP="001B04B6">
            <w:pPr>
              <w:jc w:val="right"/>
              <w:rPr>
                <w:rFonts w:ascii="Arial" w:hAnsi="Arial" w:cs="Arial"/>
                <w:b/>
                <w:i/>
                <w:color w:val="002060"/>
                <w:sz w:val="20"/>
                <w:szCs w:val="20"/>
              </w:rPr>
            </w:pPr>
            <w:r w:rsidRPr="00861B5F">
              <w:rPr>
                <w:rFonts w:ascii="Arial" w:hAnsi="Arial" w:cs="Arial"/>
                <w:b/>
                <w:sz w:val="20"/>
                <w:szCs w:val="20"/>
              </w:rPr>
              <w:t>1,735,000,000</w:t>
            </w:r>
          </w:p>
          <w:p w:rsidR="001B04B6" w:rsidRPr="00931C5D" w:rsidRDefault="00F82C78" w:rsidP="001B04B6">
            <w:pPr>
              <w:jc w:val="right"/>
              <w:rPr>
                <w:rFonts w:ascii="Arial" w:hAnsi="Arial" w:cs="Arial"/>
                <w:b/>
                <w:sz w:val="20"/>
                <w:szCs w:val="20"/>
              </w:rPr>
            </w:pPr>
            <w:r w:rsidRPr="00733A25">
              <w:rPr>
                <w:i/>
                <w:color w:val="002060"/>
                <w:sz w:val="16"/>
                <w:szCs w:val="16"/>
              </w:rPr>
              <w:t>Monto reformado D.O. 30/06/2022</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0.3.1</w:t>
            </w:r>
          </w:p>
        </w:tc>
        <w:tc>
          <w:tcPr>
            <w:tcW w:w="2744" w:type="pct"/>
            <w:shd w:val="clear" w:color="auto" w:fill="auto"/>
            <w:vAlign w:val="bottom"/>
            <w:hideMark/>
          </w:tcPr>
          <w:p w:rsidR="001B04B6" w:rsidRPr="00931C5D" w:rsidRDefault="00F82C78" w:rsidP="001B04B6">
            <w:pPr>
              <w:ind w:left="72"/>
              <w:rPr>
                <w:rFonts w:ascii="Arial" w:hAnsi="Arial" w:cs="Arial"/>
                <w:sz w:val="20"/>
                <w:szCs w:val="20"/>
              </w:rPr>
            </w:pPr>
            <w:r>
              <w:rPr>
                <w:rFonts w:ascii="Arial" w:hAnsi="Arial" w:cs="Arial"/>
                <w:sz w:val="20"/>
                <w:szCs w:val="20"/>
              </w:rPr>
              <w:t>Financiamiento Interno con afectación de recursos</w:t>
            </w:r>
          </w:p>
        </w:tc>
        <w:tc>
          <w:tcPr>
            <w:tcW w:w="1451" w:type="pct"/>
            <w:shd w:val="clear" w:color="auto" w:fill="auto"/>
            <w:noWrap/>
            <w:vAlign w:val="bottom"/>
            <w:hideMark/>
          </w:tcPr>
          <w:p w:rsidR="00861B5F" w:rsidRPr="00F82C78" w:rsidRDefault="00861B5F" w:rsidP="00861B5F">
            <w:pPr>
              <w:jc w:val="right"/>
              <w:rPr>
                <w:rFonts w:ascii="Arial" w:hAnsi="Arial" w:cs="Arial"/>
                <w:i/>
                <w:color w:val="002060"/>
                <w:sz w:val="20"/>
                <w:szCs w:val="20"/>
              </w:rPr>
            </w:pPr>
            <w:r w:rsidRPr="00F82C78">
              <w:rPr>
                <w:rFonts w:ascii="Arial" w:hAnsi="Arial" w:cs="Arial"/>
                <w:sz w:val="20"/>
                <w:szCs w:val="20"/>
              </w:rPr>
              <w:t>1,735,000,000</w:t>
            </w:r>
          </w:p>
          <w:p w:rsidR="001B04B6" w:rsidRPr="00931C5D" w:rsidRDefault="00F82C78" w:rsidP="001B04B6">
            <w:pPr>
              <w:jc w:val="right"/>
              <w:rPr>
                <w:rFonts w:ascii="Arial" w:hAnsi="Arial" w:cs="Arial"/>
                <w:sz w:val="20"/>
                <w:szCs w:val="20"/>
              </w:rPr>
            </w:pPr>
            <w:r w:rsidRPr="00733A25">
              <w:rPr>
                <w:i/>
                <w:color w:val="002060"/>
                <w:sz w:val="16"/>
                <w:szCs w:val="16"/>
              </w:rPr>
              <w:t>Monto reformado D.O. 30/06/2022</w:t>
            </w:r>
          </w:p>
        </w:tc>
      </w:tr>
      <w:tr w:rsidR="001B04B6" w:rsidRPr="00931C5D" w:rsidTr="001B04B6">
        <w:trPr>
          <w:trHeight w:val="300"/>
          <w:jc w:val="center"/>
        </w:trPr>
        <w:tc>
          <w:tcPr>
            <w:tcW w:w="805" w:type="pct"/>
            <w:shd w:val="clear" w:color="auto" w:fill="auto"/>
            <w:vAlign w:val="bottom"/>
            <w:hideMark/>
          </w:tcPr>
          <w:p w:rsidR="001B04B6" w:rsidRPr="00931C5D" w:rsidRDefault="001B04B6" w:rsidP="001B04B6">
            <w:pPr>
              <w:ind w:left="72"/>
              <w:rPr>
                <w:rFonts w:ascii="Arial" w:hAnsi="Arial" w:cs="Arial"/>
                <w:sz w:val="20"/>
                <w:szCs w:val="20"/>
              </w:rPr>
            </w:pPr>
            <w:r w:rsidRPr="00931C5D">
              <w:rPr>
                <w:rFonts w:ascii="Arial" w:hAnsi="Arial" w:cs="Arial"/>
                <w:sz w:val="20"/>
                <w:szCs w:val="20"/>
              </w:rPr>
              <w:t>0.3.2</w:t>
            </w:r>
          </w:p>
        </w:tc>
        <w:tc>
          <w:tcPr>
            <w:tcW w:w="2744" w:type="pct"/>
            <w:shd w:val="clear" w:color="auto" w:fill="auto"/>
            <w:vAlign w:val="bottom"/>
            <w:hideMark/>
          </w:tcPr>
          <w:p w:rsidR="001B04B6" w:rsidRPr="00931C5D" w:rsidRDefault="003C2AC8" w:rsidP="001B04B6">
            <w:pPr>
              <w:ind w:left="72"/>
              <w:rPr>
                <w:rFonts w:ascii="Arial" w:hAnsi="Arial" w:cs="Arial"/>
                <w:sz w:val="20"/>
                <w:szCs w:val="20"/>
              </w:rPr>
            </w:pPr>
            <w:r>
              <w:rPr>
                <w:rFonts w:ascii="Arial" w:hAnsi="Arial" w:cs="Arial"/>
                <w:sz w:val="20"/>
                <w:szCs w:val="20"/>
              </w:rPr>
              <w:t>Deuda Estatal garantizada</w:t>
            </w:r>
          </w:p>
        </w:tc>
        <w:tc>
          <w:tcPr>
            <w:tcW w:w="1451" w:type="pct"/>
            <w:shd w:val="clear" w:color="auto" w:fill="auto"/>
            <w:noWrap/>
            <w:vAlign w:val="bottom"/>
            <w:hideMark/>
          </w:tcPr>
          <w:p w:rsidR="001B04B6" w:rsidRPr="00931C5D" w:rsidRDefault="001B04B6" w:rsidP="001B04B6">
            <w:pPr>
              <w:jc w:val="right"/>
              <w:rPr>
                <w:rFonts w:ascii="Arial" w:hAnsi="Arial" w:cs="Arial"/>
                <w:sz w:val="20"/>
                <w:szCs w:val="20"/>
              </w:rPr>
            </w:pPr>
            <w:r w:rsidRPr="00931C5D">
              <w:rPr>
                <w:rFonts w:ascii="Arial" w:hAnsi="Arial" w:cs="Arial"/>
                <w:bCs/>
                <w:sz w:val="20"/>
                <w:szCs w:val="20"/>
              </w:rPr>
              <w:t>0</w:t>
            </w:r>
          </w:p>
        </w:tc>
      </w:tr>
    </w:tbl>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En los casos en que una ley establezca alguno de los ingresos previstos en este artículo, y contenga disposiciones que señalen otros ingresos, estos últimos se considerarán comprendidos en el rubro, tipo o clase que corresponda a los ingresos del primero.</w:t>
      </w: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Artículo 3. Formatos de disciplina financiera</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La proyección de ingresos de los próximos cinco años, es</w:t>
      </w:r>
      <w:r>
        <w:rPr>
          <w:rFonts w:ascii="Arial" w:hAnsi="Arial" w:cs="Arial"/>
        </w:rPr>
        <w:t xml:space="preserve"> decir</w:t>
      </w:r>
      <w:r w:rsidRPr="00D93F7E">
        <w:rPr>
          <w:rFonts w:ascii="Arial" w:hAnsi="Arial" w:cs="Arial"/>
        </w:rPr>
        <w:t xml:space="preserve">, de 2022 a 2027, se encuentra desglosada en el Anexo I de esta ley. </w:t>
      </w:r>
    </w:p>
    <w:p w:rsidR="001B04B6" w:rsidRPr="00D93F7E" w:rsidRDefault="001B04B6" w:rsidP="001B04B6">
      <w:pPr>
        <w:spacing w:before="100" w:beforeAutospacing="1" w:after="100" w:afterAutospacing="1"/>
        <w:jc w:val="both"/>
        <w:rPr>
          <w:rFonts w:ascii="Arial" w:hAnsi="Arial" w:cs="Arial"/>
        </w:rPr>
      </w:pPr>
      <w:r>
        <w:rPr>
          <w:rFonts w:ascii="Arial" w:hAnsi="Arial" w:cs="Arial"/>
        </w:rPr>
        <w:t>El resultado</w:t>
      </w:r>
      <w:r w:rsidRPr="00D93F7E">
        <w:rPr>
          <w:rFonts w:ascii="Arial" w:hAnsi="Arial" w:cs="Arial"/>
        </w:rPr>
        <w:t xml:space="preserve"> de los ingresos durante el per</w:t>
      </w:r>
      <w:r>
        <w:rPr>
          <w:rFonts w:ascii="Arial" w:hAnsi="Arial" w:cs="Arial"/>
        </w:rPr>
        <w:t>i</w:t>
      </w:r>
      <w:r w:rsidRPr="00D93F7E">
        <w:rPr>
          <w:rFonts w:ascii="Arial" w:hAnsi="Arial" w:cs="Arial"/>
        </w:rPr>
        <w:t>odo de los últimos cinco años, es decir, de 2016 a 2021, se presenta en el Anexo II</w:t>
      </w:r>
      <w:r>
        <w:rPr>
          <w:rFonts w:ascii="Arial" w:hAnsi="Arial" w:cs="Arial"/>
        </w:rPr>
        <w:t xml:space="preserve"> de esta ley</w:t>
      </w:r>
      <w:r w:rsidRPr="00D93F7E">
        <w:rPr>
          <w:rFonts w:ascii="Arial" w:hAnsi="Arial" w:cs="Arial"/>
        </w:rPr>
        <w:t>.</w:t>
      </w: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Artículo 4. Programa de financiamiento anual</w:t>
      </w:r>
    </w:p>
    <w:p w:rsidR="001B04B6" w:rsidRPr="00D93F7E" w:rsidRDefault="001B04B6" w:rsidP="001B04B6">
      <w:pPr>
        <w:spacing w:before="100" w:beforeAutospacing="1" w:after="100" w:afterAutospacing="1"/>
        <w:jc w:val="both"/>
        <w:rPr>
          <w:rFonts w:ascii="Arial" w:hAnsi="Arial" w:cs="Arial"/>
        </w:rPr>
      </w:pPr>
      <w:r>
        <w:rPr>
          <w:rFonts w:ascii="Arial" w:hAnsi="Arial" w:cs="Arial"/>
        </w:rPr>
        <w:t>De conformidad con</w:t>
      </w:r>
      <w:r w:rsidRPr="00D93F7E">
        <w:rPr>
          <w:rFonts w:ascii="Arial" w:hAnsi="Arial" w:cs="Arial"/>
        </w:rPr>
        <w:t xml:space="preserve"> lo establecido en el artículo 52, fracción V, de la Ley del Presupuesto y Contabilidad Gubernamental del Estado de Yucatán</w:t>
      </w:r>
      <w:r>
        <w:rPr>
          <w:rFonts w:ascii="Arial" w:hAnsi="Arial" w:cs="Arial"/>
        </w:rPr>
        <w:t>,</w:t>
      </w:r>
      <w:r w:rsidRPr="00D93F7E">
        <w:rPr>
          <w:rFonts w:ascii="Arial" w:hAnsi="Arial" w:cs="Arial"/>
        </w:rPr>
        <w:t xml:space="preserve"> para el programa de financiamiento 2022</w:t>
      </w:r>
      <w:r>
        <w:rPr>
          <w:rFonts w:ascii="Arial" w:hAnsi="Arial" w:cs="Arial"/>
        </w:rPr>
        <w:t>,</w:t>
      </w:r>
      <w:r w:rsidRPr="00D93F7E">
        <w:rPr>
          <w:rFonts w:ascii="Arial" w:hAnsi="Arial" w:cs="Arial"/>
        </w:rPr>
        <w:t xml:space="preserve"> la estimación de las amortizaciones y el costo del servicio de la deuda de largo plazo que se cubrirán durante el ejercicio fiscal 2022 es de $65,946,307.00 y de $455,601,172.00, respectivamente. L</w:t>
      </w:r>
      <w:r>
        <w:rPr>
          <w:rFonts w:ascii="Arial" w:hAnsi="Arial" w:cs="Arial"/>
        </w:rPr>
        <w:t>as cifras señaladas</w:t>
      </w:r>
      <w:r w:rsidRPr="00D93F7E">
        <w:rPr>
          <w:rFonts w:ascii="Arial" w:hAnsi="Arial" w:cs="Arial"/>
        </w:rPr>
        <w:t xml:space="preserve"> corresponden a los cinco financiamientos de largo plazo vigentes identificados con las siguientes claves de inscripción en el Registro Público Único de Financiamientos y Obligaciones de Entidades Federativas y Municipios a cargo de la Secretaría de Hacienda y Crédito Público: P31-0413037, P31-1119054, P31-1020086, P31-1020087 y P31-1020088, y serán aplicados de la siguiente manera:</w:t>
      </w:r>
    </w:p>
    <w:p w:rsidR="001B04B6" w:rsidRPr="0016359A" w:rsidRDefault="001B04B6" w:rsidP="0016359A">
      <w:pPr>
        <w:jc w:val="center"/>
        <w:rPr>
          <w:rFonts w:ascii="Arial" w:hAnsi="Arial" w:cs="Arial"/>
          <w:b/>
          <w:sz w:val="22"/>
          <w:szCs w:val="22"/>
        </w:rPr>
      </w:pPr>
      <w:r w:rsidRPr="0016359A">
        <w:rPr>
          <w:rFonts w:ascii="Arial" w:hAnsi="Arial" w:cs="Arial"/>
          <w:b/>
          <w:sz w:val="22"/>
          <w:szCs w:val="22"/>
        </w:rPr>
        <w:t>Tabla 2. Amortización y servicio de la deuda</w:t>
      </w:r>
    </w:p>
    <w:tbl>
      <w:tblPr>
        <w:tblW w:w="0" w:type="auto"/>
        <w:jc w:val="center"/>
        <w:tblCellMar>
          <w:left w:w="70" w:type="dxa"/>
          <w:right w:w="70" w:type="dxa"/>
        </w:tblCellMar>
        <w:tblLook w:val="04A0" w:firstRow="1" w:lastRow="0" w:firstColumn="1" w:lastColumn="0" w:noHBand="0" w:noVBand="1"/>
      </w:tblPr>
      <w:tblGrid>
        <w:gridCol w:w="1340"/>
        <w:gridCol w:w="2829"/>
        <w:gridCol w:w="1330"/>
        <w:gridCol w:w="1478"/>
        <w:gridCol w:w="1387"/>
      </w:tblGrid>
      <w:tr w:rsidR="001B04B6" w:rsidRPr="008A39AA" w:rsidTr="001B04B6">
        <w:trPr>
          <w:trHeight w:val="645"/>
          <w:jc w:val="center"/>
        </w:trPr>
        <w:tc>
          <w:tcPr>
            <w:tcW w:w="1413" w:type="dxa"/>
            <w:tcBorders>
              <w:top w:val="nil"/>
              <w:left w:val="single" w:sz="4" w:space="0" w:color="auto"/>
              <w:bottom w:val="single" w:sz="4" w:space="0" w:color="auto"/>
              <w:right w:val="single" w:sz="4" w:space="0" w:color="auto"/>
            </w:tcBorders>
            <w:shd w:val="clear" w:color="000000" w:fill="000000"/>
            <w:vAlign w:val="center"/>
            <w:hideMark/>
          </w:tcPr>
          <w:p w:rsidR="001B04B6" w:rsidRPr="008A39AA" w:rsidRDefault="001B04B6" w:rsidP="001B04B6">
            <w:pPr>
              <w:jc w:val="both"/>
              <w:rPr>
                <w:rFonts w:ascii="Arial" w:hAnsi="Arial" w:cs="Arial"/>
                <w:b/>
                <w:bCs/>
                <w:sz w:val="18"/>
                <w:szCs w:val="18"/>
              </w:rPr>
            </w:pPr>
            <w:r w:rsidRPr="008A39AA">
              <w:rPr>
                <w:rFonts w:ascii="Arial" w:hAnsi="Arial" w:cs="Arial"/>
                <w:b/>
                <w:bCs/>
                <w:sz w:val="18"/>
                <w:szCs w:val="18"/>
              </w:rPr>
              <w:t>Clasificación deuda</w:t>
            </w:r>
          </w:p>
        </w:tc>
        <w:tc>
          <w:tcPr>
            <w:tcW w:w="2992" w:type="dxa"/>
            <w:tcBorders>
              <w:top w:val="nil"/>
              <w:left w:val="nil"/>
              <w:bottom w:val="single" w:sz="4" w:space="0" w:color="auto"/>
              <w:right w:val="single" w:sz="4" w:space="0" w:color="auto"/>
            </w:tcBorders>
            <w:shd w:val="clear" w:color="000000" w:fill="000000"/>
            <w:vAlign w:val="center"/>
            <w:hideMark/>
          </w:tcPr>
          <w:p w:rsidR="001B04B6" w:rsidRPr="008A39AA" w:rsidRDefault="001B04B6" w:rsidP="001B04B6">
            <w:pPr>
              <w:jc w:val="center"/>
              <w:rPr>
                <w:rFonts w:ascii="Arial" w:hAnsi="Arial" w:cs="Arial"/>
                <w:b/>
                <w:bCs/>
                <w:sz w:val="18"/>
                <w:szCs w:val="18"/>
              </w:rPr>
            </w:pPr>
            <w:r w:rsidRPr="008A39AA">
              <w:rPr>
                <w:rFonts w:ascii="Arial" w:hAnsi="Arial" w:cs="Arial"/>
                <w:b/>
                <w:bCs/>
                <w:sz w:val="18"/>
                <w:szCs w:val="18"/>
              </w:rPr>
              <w:t>Institución Financiera/Monto de Contratación</w:t>
            </w:r>
          </w:p>
        </w:tc>
        <w:tc>
          <w:tcPr>
            <w:tcW w:w="1402" w:type="dxa"/>
            <w:tcBorders>
              <w:top w:val="nil"/>
              <w:left w:val="nil"/>
              <w:bottom w:val="single" w:sz="4" w:space="0" w:color="auto"/>
              <w:right w:val="single" w:sz="4" w:space="0" w:color="auto"/>
            </w:tcBorders>
            <w:shd w:val="clear" w:color="000000" w:fill="000000"/>
            <w:vAlign w:val="center"/>
            <w:hideMark/>
          </w:tcPr>
          <w:p w:rsidR="001B04B6" w:rsidRPr="008A39AA" w:rsidRDefault="001B04B6" w:rsidP="001B04B6">
            <w:pPr>
              <w:jc w:val="center"/>
              <w:rPr>
                <w:rFonts w:ascii="Arial" w:hAnsi="Arial" w:cs="Arial"/>
                <w:b/>
                <w:bCs/>
                <w:sz w:val="18"/>
                <w:szCs w:val="18"/>
              </w:rPr>
            </w:pPr>
            <w:r w:rsidRPr="008A39AA">
              <w:rPr>
                <w:rFonts w:ascii="Arial" w:hAnsi="Arial" w:cs="Arial"/>
                <w:b/>
                <w:bCs/>
                <w:sz w:val="18"/>
                <w:szCs w:val="18"/>
              </w:rPr>
              <w:t xml:space="preserve">Saldo al </w:t>
            </w:r>
            <w:r w:rsidRPr="008A39AA">
              <w:rPr>
                <w:rFonts w:ascii="Arial" w:hAnsi="Arial" w:cs="Arial"/>
                <w:b/>
                <w:bCs/>
                <w:sz w:val="18"/>
                <w:szCs w:val="18"/>
              </w:rPr>
              <w:br/>
              <w:t>31/dic/2021</w:t>
            </w:r>
          </w:p>
        </w:tc>
        <w:tc>
          <w:tcPr>
            <w:tcW w:w="1559" w:type="dxa"/>
            <w:tcBorders>
              <w:top w:val="nil"/>
              <w:left w:val="nil"/>
              <w:bottom w:val="single" w:sz="4" w:space="0" w:color="auto"/>
              <w:right w:val="single" w:sz="4" w:space="0" w:color="auto"/>
            </w:tcBorders>
            <w:shd w:val="clear" w:color="000000" w:fill="000000"/>
            <w:vAlign w:val="center"/>
            <w:hideMark/>
          </w:tcPr>
          <w:p w:rsidR="001B04B6" w:rsidRPr="008A39AA" w:rsidRDefault="001B04B6" w:rsidP="001B04B6">
            <w:pPr>
              <w:jc w:val="center"/>
              <w:rPr>
                <w:rFonts w:ascii="Arial" w:hAnsi="Arial" w:cs="Arial"/>
                <w:b/>
                <w:bCs/>
                <w:sz w:val="18"/>
                <w:szCs w:val="18"/>
              </w:rPr>
            </w:pPr>
            <w:r w:rsidRPr="008A39AA">
              <w:rPr>
                <w:rFonts w:ascii="Arial" w:hAnsi="Arial" w:cs="Arial"/>
                <w:b/>
                <w:bCs/>
                <w:sz w:val="18"/>
                <w:szCs w:val="18"/>
              </w:rPr>
              <w:t>Amortización</w:t>
            </w:r>
          </w:p>
        </w:tc>
        <w:tc>
          <w:tcPr>
            <w:tcW w:w="1462" w:type="dxa"/>
            <w:tcBorders>
              <w:top w:val="nil"/>
              <w:left w:val="nil"/>
              <w:bottom w:val="single" w:sz="4" w:space="0" w:color="auto"/>
              <w:right w:val="single" w:sz="4" w:space="0" w:color="auto"/>
            </w:tcBorders>
            <w:shd w:val="clear" w:color="000000" w:fill="000000"/>
            <w:vAlign w:val="center"/>
            <w:hideMark/>
          </w:tcPr>
          <w:p w:rsidR="001B04B6" w:rsidRPr="008A39AA" w:rsidRDefault="001B04B6" w:rsidP="001B04B6">
            <w:pPr>
              <w:jc w:val="center"/>
              <w:rPr>
                <w:rFonts w:ascii="Arial" w:hAnsi="Arial" w:cs="Arial"/>
                <w:b/>
                <w:bCs/>
                <w:sz w:val="18"/>
                <w:szCs w:val="18"/>
              </w:rPr>
            </w:pPr>
            <w:r w:rsidRPr="008A39AA">
              <w:rPr>
                <w:rFonts w:ascii="Arial" w:hAnsi="Arial" w:cs="Arial"/>
                <w:b/>
                <w:bCs/>
                <w:sz w:val="18"/>
                <w:szCs w:val="18"/>
              </w:rPr>
              <w:t>Servicio de la Deuda</w:t>
            </w:r>
            <w:r w:rsidRPr="008A39AA">
              <w:rPr>
                <w:rFonts w:ascii="Arial" w:hAnsi="Arial" w:cs="Arial"/>
                <w:b/>
                <w:bCs/>
                <w:sz w:val="18"/>
                <w:szCs w:val="18"/>
                <w:vertAlign w:val="superscript"/>
              </w:rPr>
              <w:t>1</w:t>
            </w:r>
          </w:p>
        </w:tc>
      </w:tr>
      <w:tr w:rsidR="001B04B6" w:rsidRPr="008A39AA" w:rsidTr="001B04B6">
        <w:trPr>
          <w:trHeight w:val="28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1B04B6" w:rsidRPr="008A39AA" w:rsidRDefault="001B04B6" w:rsidP="001B04B6">
            <w:pPr>
              <w:jc w:val="both"/>
              <w:rPr>
                <w:rFonts w:ascii="Arial" w:hAnsi="Arial" w:cs="Arial"/>
                <w:sz w:val="18"/>
                <w:szCs w:val="18"/>
              </w:rPr>
            </w:pPr>
            <w:r w:rsidRPr="008A39AA">
              <w:rPr>
                <w:rFonts w:ascii="Arial" w:hAnsi="Arial" w:cs="Arial"/>
                <w:sz w:val="18"/>
                <w:szCs w:val="18"/>
              </w:rPr>
              <w:t>Deuda pública</w:t>
            </w:r>
          </w:p>
        </w:tc>
        <w:tc>
          <w:tcPr>
            <w:tcW w:w="2992"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both"/>
              <w:rPr>
                <w:rFonts w:ascii="Arial" w:hAnsi="Arial" w:cs="Arial"/>
                <w:sz w:val="18"/>
                <w:szCs w:val="18"/>
              </w:rPr>
            </w:pPr>
            <w:r w:rsidRPr="008A39AA">
              <w:rPr>
                <w:rFonts w:ascii="Arial" w:hAnsi="Arial" w:cs="Arial"/>
                <w:sz w:val="18"/>
                <w:szCs w:val="18"/>
              </w:rPr>
              <w:t xml:space="preserve">Banco Nacional de México, S.A. por 2,620 </w:t>
            </w:r>
            <w:proofErr w:type="spellStart"/>
            <w:r w:rsidRPr="008A39AA">
              <w:rPr>
                <w:rFonts w:ascii="Arial" w:hAnsi="Arial" w:cs="Arial"/>
                <w:sz w:val="18"/>
                <w:szCs w:val="18"/>
              </w:rPr>
              <w:t>mdp</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right"/>
              <w:rPr>
                <w:rFonts w:ascii="Arial" w:hAnsi="Arial" w:cs="Arial"/>
                <w:sz w:val="18"/>
                <w:szCs w:val="18"/>
              </w:rPr>
            </w:pPr>
            <w:r w:rsidRPr="008A39AA">
              <w:rPr>
                <w:rFonts w:ascii="Arial" w:hAnsi="Arial" w:cs="Arial"/>
                <w:sz w:val="18"/>
                <w:szCs w:val="18"/>
              </w:rPr>
              <w:t>2,591,228,832</w:t>
            </w:r>
          </w:p>
        </w:tc>
        <w:tc>
          <w:tcPr>
            <w:tcW w:w="1559"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right"/>
              <w:rPr>
                <w:rFonts w:ascii="Arial" w:hAnsi="Arial" w:cs="Arial"/>
                <w:sz w:val="18"/>
                <w:szCs w:val="18"/>
              </w:rPr>
            </w:pPr>
            <w:r w:rsidRPr="008A39AA">
              <w:rPr>
                <w:rFonts w:ascii="Arial" w:hAnsi="Arial" w:cs="Arial"/>
                <w:sz w:val="18"/>
                <w:szCs w:val="18"/>
              </w:rPr>
              <w:t>30,965,491</w:t>
            </w:r>
          </w:p>
        </w:tc>
        <w:tc>
          <w:tcPr>
            <w:tcW w:w="1462"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right"/>
              <w:rPr>
                <w:rFonts w:ascii="Arial" w:hAnsi="Arial" w:cs="Arial"/>
                <w:sz w:val="18"/>
                <w:szCs w:val="18"/>
              </w:rPr>
            </w:pPr>
            <w:r w:rsidRPr="008A39AA">
              <w:rPr>
                <w:rFonts w:ascii="Arial" w:hAnsi="Arial" w:cs="Arial"/>
                <w:sz w:val="18"/>
                <w:szCs w:val="18"/>
              </w:rPr>
              <w:t>171,059,904</w:t>
            </w:r>
          </w:p>
        </w:tc>
      </w:tr>
      <w:tr w:rsidR="001B04B6" w:rsidRPr="008A39AA" w:rsidTr="001B04B6">
        <w:trPr>
          <w:trHeight w:val="57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1B04B6" w:rsidRPr="008A39AA" w:rsidRDefault="001B04B6" w:rsidP="001B04B6">
            <w:pPr>
              <w:jc w:val="both"/>
              <w:rPr>
                <w:rFonts w:ascii="Arial" w:hAnsi="Arial" w:cs="Arial"/>
                <w:sz w:val="18"/>
                <w:szCs w:val="18"/>
              </w:rPr>
            </w:pPr>
            <w:r w:rsidRPr="008A39AA">
              <w:rPr>
                <w:rFonts w:ascii="Arial" w:hAnsi="Arial" w:cs="Arial"/>
                <w:sz w:val="18"/>
                <w:szCs w:val="18"/>
              </w:rPr>
              <w:t> </w:t>
            </w:r>
          </w:p>
        </w:tc>
        <w:tc>
          <w:tcPr>
            <w:tcW w:w="2992"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both"/>
              <w:rPr>
                <w:rFonts w:ascii="Arial" w:hAnsi="Arial" w:cs="Arial"/>
                <w:sz w:val="18"/>
                <w:szCs w:val="18"/>
              </w:rPr>
            </w:pPr>
            <w:r w:rsidRPr="008A39AA">
              <w:rPr>
                <w:rFonts w:ascii="Arial" w:hAnsi="Arial" w:cs="Arial"/>
                <w:sz w:val="18"/>
                <w:szCs w:val="18"/>
              </w:rPr>
              <w:t xml:space="preserve">Banco Nacional de Obras y Servicios Públicos, S.N.C. por 800 </w:t>
            </w:r>
            <w:proofErr w:type="spellStart"/>
            <w:r w:rsidRPr="008A39AA">
              <w:rPr>
                <w:rFonts w:ascii="Arial" w:hAnsi="Arial" w:cs="Arial"/>
                <w:sz w:val="18"/>
                <w:szCs w:val="18"/>
              </w:rPr>
              <w:t>mdp</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right"/>
              <w:rPr>
                <w:rFonts w:ascii="Arial" w:hAnsi="Arial" w:cs="Arial"/>
                <w:sz w:val="18"/>
                <w:szCs w:val="18"/>
              </w:rPr>
            </w:pPr>
            <w:r w:rsidRPr="008A39AA">
              <w:rPr>
                <w:rFonts w:ascii="Arial" w:hAnsi="Arial" w:cs="Arial"/>
                <w:sz w:val="18"/>
                <w:szCs w:val="18"/>
              </w:rPr>
              <w:t>791,778,824</w:t>
            </w:r>
          </w:p>
        </w:tc>
        <w:tc>
          <w:tcPr>
            <w:tcW w:w="1559"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right"/>
              <w:rPr>
                <w:rFonts w:ascii="Arial" w:hAnsi="Arial" w:cs="Arial"/>
                <w:sz w:val="18"/>
                <w:szCs w:val="18"/>
              </w:rPr>
            </w:pPr>
            <w:r w:rsidRPr="008A39AA">
              <w:rPr>
                <w:rFonts w:ascii="Arial" w:hAnsi="Arial" w:cs="Arial"/>
                <w:sz w:val="18"/>
                <w:szCs w:val="18"/>
              </w:rPr>
              <w:t>8,278,994</w:t>
            </w:r>
          </w:p>
        </w:tc>
        <w:tc>
          <w:tcPr>
            <w:tcW w:w="1462"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right"/>
              <w:rPr>
                <w:rFonts w:ascii="Arial" w:hAnsi="Arial" w:cs="Arial"/>
                <w:sz w:val="18"/>
                <w:szCs w:val="18"/>
              </w:rPr>
            </w:pPr>
            <w:r w:rsidRPr="008A39AA">
              <w:rPr>
                <w:rFonts w:ascii="Arial" w:hAnsi="Arial" w:cs="Arial"/>
                <w:sz w:val="18"/>
                <w:szCs w:val="18"/>
              </w:rPr>
              <w:t>49,671,018</w:t>
            </w:r>
          </w:p>
        </w:tc>
      </w:tr>
      <w:tr w:rsidR="001B04B6" w:rsidRPr="008A39AA" w:rsidTr="001B04B6">
        <w:trPr>
          <w:trHeight w:val="57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1B04B6" w:rsidRPr="008A39AA" w:rsidRDefault="001B04B6" w:rsidP="001B04B6">
            <w:pPr>
              <w:jc w:val="both"/>
              <w:rPr>
                <w:rFonts w:ascii="Arial" w:hAnsi="Arial" w:cs="Arial"/>
                <w:sz w:val="18"/>
                <w:szCs w:val="18"/>
              </w:rPr>
            </w:pPr>
            <w:r w:rsidRPr="008A39AA">
              <w:rPr>
                <w:rFonts w:ascii="Arial" w:hAnsi="Arial" w:cs="Arial"/>
                <w:sz w:val="18"/>
                <w:szCs w:val="18"/>
              </w:rPr>
              <w:lastRenderedPageBreak/>
              <w:t> </w:t>
            </w:r>
          </w:p>
        </w:tc>
        <w:tc>
          <w:tcPr>
            <w:tcW w:w="2992"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both"/>
              <w:rPr>
                <w:rFonts w:ascii="Arial" w:hAnsi="Arial" w:cs="Arial"/>
                <w:sz w:val="18"/>
                <w:szCs w:val="18"/>
              </w:rPr>
            </w:pPr>
            <w:r w:rsidRPr="008A39AA">
              <w:rPr>
                <w:rFonts w:ascii="Arial" w:hAnsi="Arial" w:cs="Arial"/>
                <w:sz w:val="18"/>
                <w:szCs w:val="18"/>
              </w:rPr>
              <w:t xml:space="preserve">Banco Nacional de Obras y Servicios Públicos, S.N.C. por 1,200 </w:t>
            </w:r>
            <w:proofErr w:type="spellStart"/>
            <w:r w:rsidRPr="008A39AA">
              <w:rPr>
                <w:rFonts w:ascii="Arial" w:hAnsi="Arial" w:cs="Arial"/>
                <w:sz w:val="18"/>
                <w:szCs w:val="18"/>
              </w:rPr>
              <w:t>mdp</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right"/>
              <w:rPr>
                <w:rFonts w:ascii="Arial" w:hAnsi="Arial" w:cs="Arial"/>
                <w:sz w:val="18"/>
                <w:szCs w:val="18"/>
              </w:rPr>
            </w:pPr>
            <w:r w:rsidRPr="008A39AA">
              <w:rPr>
                <w:rFonts w:ascii="Arial" w:hAnsi="Arial" w:cs="Arial"/>
                <w:sz w:val="18"/>
                <w:szCs w:val="18"/>
              </w:rPr>
              <w:t>1,188,008,002</w:t>
            </w:r>
          </w:p>
        </w:tc>
        <w:tc>
          <w:tcPr>
            <w:tcW w:w="1559"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right"/>
              <w:rPr>
                <w:rFonts w:ascii="Arial" w:hAnsi="Arial" w:cs="Arial"/>
                <w:sz w:val="18"/>
                <w:szCs w:val="18"/>
              </w:rPr>
            </w:pPr>
            <w:r w:rsidRPr="008A39AA">
              <w:rPr>
                <w:rFonts w:ascii="Arial" w:hAnsi="Arial" w:cs="Arial"/>
                <w:sz w:val="18"/>
                <w:szCs w:val="18"/>
              </w:rPr>
              <w:t>12,413,561</w:t>
            </w:r>
          </w:p>
        </w:tc>
        <w:tc>
          <w:tcPr>
            <w:tcW w:w="1462"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right"/>
              <w:rPr>
                <w:rFonts w:ascii="Arial" w:hAnsi="Arial" w:cs="Arial"/>
                <w:sz w:val="18"/>
                <w:szCs w:val="18"/>
              </w:rPr>
            </w:pPr>
            <w:r w:rsidRPr="008A39AA">
              <w:rPr>
                <w:rFonts w:ascii="Arial" w:hAnsi="Arial" w:cs="Arial"/>
                <w:sz w:val="18"/>
                <w:szCs w:val="18"/>
              </w:rPr>
              <w:t>101,811,228</w:t>
            </w:r>
          </w:p>
        </w:tc>
      </w:tr>
      <w:tr w:rsidR="001B04B6" w:rsidRPr="008A39AA" w:rsidTr="001B04B6">
        <w:trPr>
          <w:trHeight w:val="57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1B04B6" w:rsidRPr="008A39AA" w:rsidRDefault="001B04B6" w:rsidP="001B04B6">
            <w:pPr>
              <w:jc w:val="both"/>
              <w:rPr>
                <w:rFonts w:ascii="Arial" w:hAnsi="Arial" w:cs="Arial"/>
                <w:sz w:val="18"/>
                <w:szCs w:val="18"/>
              </w:rPr>
            </w:pPr>
            <w:r w:rsidRPr="008A39AA">
              <w:rPr>
                <w:rFonts w:ascii="Arial" w:hAnsi="Arial" w:cs="Arial"/>
                <w:sz w:val="18"/>
                <w:szCs w:val="18"/>
              </w:rPr>
              <w:t> </w:t>
            </w:r>
          </w:p>
        </w:tc>
        <w:tc>
          <w:tcPr>
            <w:tcW w:w="2992"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both"/>
              <w:rPr>
                <w:rFonts w:ascii="Arial" w:hAnsi="Arial" w:cs="Arial"/>
                <w:sz w:val="18"/>
                <w:szCs w:val="18"/>
              </w:rPr>
            </w:pPr>
            <w:r w:rsidRPr="008A39AA">
              <w:rPr>
                <w:rFonts w:ascii="Arial" w:hAnsi="Arial" w:cs="Arial"/>
                <w:sz w:val="18"/>
                <w:szCs w:val="18"/>
              </w:rPr>
              <w:t>Banco Nacional de Obras y Servicios Públicos, S.N.C. por 1,420mdp</w:t>
            </w:r>
          </w:p>
        </w:tc>
        <w:tc>
          <w:tcPr>
            <w:tcW w:w="1402"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right"/>
              <w:rPr>
                <w:rFonts w:ascii="Arial" w:hAnsi="Arial" w:cs="Arial"/>
                <w:sz w:val="18"/>
                <w:szCs w:val="18"/>
              </w:rPr>
            </w:pPr>
            <w:r w:rsidRPr="008A39AA">
              <w:rPr>
                <w:rFonts w:ascii="Arial" w:hAnsi="Arial" w:cs="Arial"/>
                <w:sz w:val="18"/>
                <w:szCs w:val="18"/>
              </w:rPr>
              <w:t>1,366,487,676</w:t>
            </w:r>
          </w:p>
        </w:tc>
        <w:tc>
          <w:tcPr>
            <w:tcW w:w="1559"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right"/>
              <w:rPr>
                <w:rFonts w:ascii="Arial" w:hAnsi="Arial" w:cs="Arial"/>
                <w:sz w:val="18"/>
                <w:szCs w:val="18"/>
              </w:rPr>
            </w:pPr>
            <w:r w:rsidRPr="008A39AA">
              <w:rPr>
                <w:rFonts w:ascii="Arial" w:hAnsi="Arial" w:cs="Arial"/>
                <w:sz w:val="18"/>
                <w:szCs w:val="18"/>
              </w:rPr>
              <w:t>14,288,261</w:t>
            </w:r>
          </w:p>
        </w:tc>
        <w:tc>
          <w:tcPr>
            <w:tcW w:w="1462"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right"/>
              <w:rPr>
                <w:rFonts w:ascii="Arial" w:hAnsi="Arial" w:cs="Arial"/>
                <w:sz w:val="18"/>
                <w:szCs w:val="18"/>
              </w:rPr>
            </w:pPr>
            <w:r w:rsidRPr="008A39AA">
              <w:rPr>
                <w:rFonts w:ascii="Arial" w:hAnsi="Arial" w:cs="Arial"/>
                <w:sz w:val="18"/>
                <w:szCs w:val="18"/>
              </w:rPr>
              <w:t>106,343,985</w:t>
            </w:r>
          </w:p>
        </w:tc>
      </w:tr>
      <w:tr w:rsidR="001B04B6" w:rsidRPr="008A39AA" w:rsidTr="001B04B6">
        <w:trPr>
          <w:trHeight w:val="28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1B04B6" w:rsidRPr="008A39AA" w:rsidRDefault="001B04B6" w:rsidP="001B04B6">
            <w:pPr>
              <w:jc w:val="both"/>
              <w:rPr>
                <w:rFonts w:ascii="Arial" w:hAnsi="Arial" w:cs="Arial"/>
                <w:sz w:val="18"/>
                <w:szCs w:val="18"/>
              </w:rPr>
            </w:pPr>
            <w:r w:rsidRPr="008A39AA">
              <w:rPr>
                <w:rFonts w:ascii="Arial" w:hAnsi="Arial" w:cs="Arial"/>
                <w:sz w:val="18"/>
                <w:szCs w:val="18"/>
              </w:rPr>
              <w:t> </w:t>
            </w:r>
          </w:p>
        </w:tc>
        <w:tc>
          <w:tcPr>
            <w:tcW w:w="2992"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both"/>
              <w:rPr>
                <w:rFonts w:ascii="Arial" w:hAnsi="Arial" w:cs="Arial"/>
                <w:sz w:val="18"/>
                <w:szCs w:val="18"/>
              </w:rPr>
            </w:pPr>
            <w:r w:rsidRPr="008A39AA">
              <w:rPr>
                <w:rFonts w:ascii="Arial" w:hAnsi="Arial" w:cs="Arial"/>
                <w:sz w:val="18"/>
                <w:szCs w:val="18"/>
              </w:rPr>
              <w:t>Total deuda pública</w:t>
            </w:r>
          </w:p>
        </w:tc>
        <w:tc>
          <w:tcPr>
            <w:tcW w:w="1402"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right"/>
              <w:rPr>
                <w:rFonts w:ascii="Arial" w:hAnsi="Arial" w:cs="Arial"/>
                <w:sz w:val="18"/>
                <w:szCs w:val="18"/>
              </w:rPr>
            </w:pPr>
            <w:r w:rsidRPr="008A39AA">
              <w:rPr>
                <w:rFonts w:ascii="Arial" w:hAnsi="Arial" w:cs="Arial"/>
                <w:sz w:val="18"/>
                <w:szCs w:val="18"/>
              </w:rPr>
              <w:t>5,937,503,333</w:t>
            </w:r>
          </w:p>
        </w:tc>
        <w:tc>
          <w:tcPr>
            <w:tcW w:w="1559"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right"/>
              <w:rPr>
                <w:rFonts w:ascii="Arial" w:hAnsi="Arial" w:cs="Arial"/>
                <w:sz w:val="18"/>
                <w:szCs w:val="18"/>
              </w:rPr>
            </w:pPr>
            <w:r w:rsidRPr="008A39AA">
              <w:rPr>
                <w:rFonts w:ascii="Arial" w:hAnsi="Arial" w:cs="Arial"/>
                <w:sz w:val="18"/>
                <w:szCs w:val="18"/>
              </w:rPr>
              <w:t>65,946,307</w:t>
            </w:r>
          </w:p>
        </w:tc>
        <w:tc>
          <w:tcPr>
            <w:tcW w:w="1462"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right"/>
              <w:rPr>
                <w:rFonts w:ascii="Arial" w:hAnsi="Arial" w:cs="Arial"/>
                <w:sz w:val="18"/>
                <w:szCs w:val="18"/>
              </w:rPr>
            </w:pPr>
            <w:r w:rsidRPr="008A39AA">
              <w:rPr>
                <w:rFonts w:ascii="Arial" w:hAnsi="Arial" w:cs="Arial"/>
                <w:sz w:val="18"/>
                <w:szCs w:val="18"/>
              </w:rPr>
              <w:t>428,886,135</w:t>
            </w:r>
          </w:p>
        </w:tc>
      </w:tr>
      <w:tr w:rsidR="001B04B6" w:rsidRPr="008A39AA" w:rsidTr="001B04B6">
        <w:trPr>
          <w:trHeight w:val="57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1B04B6" w:rsidRPr="008A39AA" w:rsidRDefault="001B04B6" w:rsidP="001B04B6">
            <w:pPr>
              <w:jc w:val="both"/>
              <w:rPr>
                <w:rFonts w:ascii="Arial" w:hAnsi="Arial" w:cs="Arial"/>
                <w:sz w:val="18"/>
                <w:szCs w:val="18"/>
              </w:rPr>
            </w:pPr>
            <w:r w:rsidRPr="008A39AA">
              <w:rPr>
                <w:rFonts w:ascii="Arial" w:hAnsi="Arial" w:cs="Arial"/>
                <w:sz w:val="18"/>
                <w:szCs w:val="18"/>
              </w:rPr>
              <w:t>Deuda pública con garantía</w:t>
            </w:r>
          </w:p>
        </w:tc>
        <w:tc>
          <w:tcPr>
            <w:tcW w:w="2992"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both"/>
              <w:rPr>
                <w:rFonts w:ascii="Arial" w:hAnsi="Arial" w:cs="Arial"/>
                <w:sz w:val="18"/>
                <w:szCs w:val="18"/>
              </w:rPr>
            </w:pPr>
            <w:r w:rsidRPr="008A39AA">
              <w:rPr>
                <w:rFonts w:ascii="Arial" w:hAnsi="Arial" w:cs="Arial"/>
                <w:sz w:val="18"/>
                <w:szCs w:val="18"/>
              </w:rPr>
              <w:t xml:space="preserve">Banco Nacional de Obras y Servicios Públicos, S.N.C. (PROFISE) por 317 </w:t>
            </w:r>
            <w:proofErr w:type="spellStart"/>
            <w:r w:rsidRPr="008A39AA">
              <w:rPr>
                <w:rFonts w:ascii="Arial" w:hAnsi="Arial" w:cs="Arial"/>
                <w:sz w:val="18"/>
                <w:szCs w:val="18"/>
              </w:rPr>
              <w:t>mdp</w:t>
            </w:r>
            <w:proofErr w:type="spellEnd"/>
          </w:p>
        </w:tc>
        <w:tc>
          <w:tcPr>
            <w:tcW w:w="1402"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right"/>
              <w:rPr>
                <w:rFonts w:ascii="Arial" w:hAnsi="Arial" w:cs="Arial"/>
                <w:sz w:val="18"/>
                <w:szCs w:val="18"/>
              </w:rPr>
            </w:pPr>
            <w:r w:rsidRPr="008A39AA">
              <w:rPr>
                <w:rFonts w:ascii="Arial" w:hAnsi="Arial" w:cs="Arial"/>
                <w:sz w:val="18"/>
                <w:szCs w:val="18"/>
              </w:rPr>
              <w:t>306,931,762</w:t>
            </w:r>
          </w:p>
        </w:tc>
        <w:tc>
          <w:tcPr>
            <w:tcW w:w="1559"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right"/>
              <w:rPr>
                <w:rFonts w:ascii="Arial" w:hAnsi="Arial" w:cs="Arial"/>
                <w:sz w:val="18"/>
                <w:szCs w:val="18"/>
              </w:rPr>
            </w:pPr>
            <w:r w:rsidRPr="008A39AA">
              <w:rPr>
                <w:rFonts w:ascii="Arial" w:hAnsi="Arial" w:cs="Arial"/>
                <w:sz w:val="18"/>
                <w:szCs w:val="18"/>
              </w:rPr>
              <w:t>0</w:t>
            </w:r>
          </w:p>
        </w:tc>
        <w:tc>
          <w:tcPr>
            <w:tcW w:w="1462"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right"/>
              <w:rPr>
                <w:rFonts w:ascii="Arial" w:hAnsi="Arial" w:cs="Arial"/>
                <w:sz w:val="18"/>
                <w:szCs w:val="18"/>
              </w:rPr>
            </w:pPr>
            <w:r w:rsidRPr="008A39AA">
              <w:rPr>
                <w:rFonts w:ascii="Arial" w:hAnsi="Arial" w:cs="Arial"/>
                <w:sz w:val="18"/>
                <w:szCs w:val="18"/>
              </w:rPr>
              <w:t>26,715,037</w:t>
            </w:r>
          </w:p>
        </w:tc>
      </w:tr>
      <w:tr w:rsidR="001B04B6" w:rsidRPr="008A39AA" w:rsidTr="001B04B6">
        <w:trPr>
          <w:trHeight w:val="285"/>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1B04B6" w:rsidRPr="008A39AA" w:rsidRDefault="001B04B6" w:rsidP="001B04B6">
            <w:pPr>
              <w:jc w:val="both"/>
              <w:rPr>
                <w:rFonts w:ascii="Arial" w:hAnsi="Arial" w:cs="Arial"/>
                <w:sz w:val="18"/>
                <w:szCs w:val="18"/>
              </w:rPr>
            </w:pPr>
            <w:r w:rsidRPr="008A39AA">
              <w:rPr>
                <w:rFonts w:ascii="Arial" w:hAnsi="Arial" w:cs="Arial"/>
                <w:sz w:val="18"/>
                <w:szCs w:val="18"/>
              </w:rPr>
              <w:t> </w:t>
            </w:r>
          </w:p>
        </w:tc>
        <w:tc>
          <w:tcPr>
            <w:tcW w:w="2992" w:type="dxa"/>
            <w:tcBorders>
              <w:top w:val="nil"/>
              <w:left w:val="nil"/>
              <w:bottom w:val="single" w:sz="4" w:space="0" w:color="auto"/>
              <w:right w:val="single" w:sz="4" w:space="0" w:color="auto"/>
            </w:tcBorders>
            <w:shd w:val="clear" w:color="auto" w:fill="auto"/>
            <w:vAlign w:val="center"/>
            <w:hideMark/>
          </w:tcPr>
          <w:p w:rsidR="001B04B6" w:rsidRPr="008A39AA" w:rsidRDefault="001B04B6" w:rsidP="001B04B6">
            <w:pPr>
              <w:jc w:val="both"/>
              <w:rPr>
                <w:rFonts w:ascii="Arial" w:hAnsi="Arial" w:cs="Arial"/>
                <w:sz w:val="18"/>
                <w:szCs w:val="18"/>
              </w:rPr>
            </w:pPr>
            <w:r w:rsidRPr="008A39AA">
              <w:rPr>
                <w:rFonts w:ascii="Arial" w:hAnsi="Arial" w:cs="Arial"/>
                <w:sz w:val="18"/>
                <w:szCs w:val="18"/>
              </w:rPr>
              <w:t>Total deuda pública con garantía</w:t>
            </w:r>
          </w:p>
        </w:tc>
        <w:tc>
          <w:tcPr>
            <w:tcW w:w="1402"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right"/>
              <w:rPr>
                <w:rFonts w:ascii="Arial" w:hAnsi="Arial" w:cs="Arial"/>
                <w:sz w:val="18"/>
                <w:szCs w:val="18"/>
              </w:rPr>
            </w:pPr>
            <w:r w:rsidRPr="008A39AA">
              <w:rPr>
                <w:rFonts w:ascii="Arial" w:hAnsi="Arial" w:cs="Arial"/>
                <w:sz w:val="18"/>
                <w:szCs w:val="18"/>
              </w:rPr>
              <w:t>306,931,762</w:t>
            </w:r>
          </w:p>
        </w:tc>
        <w:tc>
          <w:tcPr>
            <w:tcW w:w="1559"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right"/>
              <w:rPr>
                <w:rFonts w:ascii="Arial" w:hAnsi="Arial" w:cs="Arial"/>
                <w:sz w:val="18"/>
                <w:szCs w:val="18"/>
              </w:rPr>
            </w:pPr>
            <w:r w:rsidRPr="008A39AA">
              <w:rPr>
                <w:rFonts w:ascii="Arial" w:hAnsi="Arial" w:cs="Arial"/>
                <w:sz w:val="18"/>
                <w:szCs w:val="18"/>
              </w:rPr>
              <w:t>0</w:t>
            </w:r>
          </w:p>
        </w:tc>
        <w:tc>
          <w:tcPr>
            <w:tcW w:w="1462" w:type="dxa"/>
            <w:tcBorders>
              <w:top w:val="nil"/>
              <w:left w:val="nil"/>
              <w:bottom w:val="single" w:sz="4" w:space="0" w:color="auto"/>
              <w:right w:val="single" w:sz="4" w:space="0" w:color="auto"/>
            </w:tcBorders>
            <w:shd w:val="clear" w:color="auto" w:fill="auto"/>
            <w:noWrap/>
            <w:vAlign w:val="center"/>
            <w:hideMark/>
          </w:tcPr>
          <w:p w:rsidR="001B04B6" w:rsidRPr="008A39AA" w:rsidRDefault="001B04B6" w:rsidP="001B04B6">
            <w:pPr>
              <w:jc w:val="right"/>
              <w:rPr>
                <w:rFonts w:ascii="Arial" w:hAnsi="Arial" w:cs="Arial"/>
                <w:sz w:val="18"/>
                <w:szCs w:val="18"/>
              </w:rPr>
            </w:pPr>
            <w:r w:rsidRPr="008A39AA">
              <w:rPr>
                <w:rFonts w:ascii="Arial" w:hAnsi="Arial" w:cs="Arial"/>
                <w:sz w:val="18"/>
                <w:szCs w:val="18"/>
              </w:rPr>
              <w:t>26,715,037</w:t>
            </w:r>
          </w:p>
        </w:tc>
      </w:tr>
      <w:tr w:rsidR="001B04B6" w:rsidRPr="008A39AA" w:rsidTr="001B04B6">
        <w:trPr>
          <w:trHeight w:val="300"/>
          <w:jc w:val="center"/>
        </w:trPr>
        <w:tc>
          <w:tcPr>
            <w:tcW w:w="1413" w:type="dxa"/>
            <w:tcBorders>
              <w:top w:val="nil"/>
              <w:left w:val="single" w:sz="4" w:space="0" w:color="auto"/>
              <w:bottom w:val="single" w:sz="4" w:space="0" w:color="auto"/>
              <w:right w:val="single" w:sz="4" w:space="0" w:color="auto"/>
            </w:tcBorders>
            <w:shd w:val="clear" w:color="auto" w:fill="DDD9C3"/>
            <w:noWrap/>
            <w:vAlign w:val="center"/>
            <w:hideMark/>
          </w:tcPr>
          <w:p w:rsidR="001B04B6" w:rsidRPr="008A39AA" w:rsidRDefault="001B04B6" w:rsidP="001B04B6">
            <w:pPr>
              <w:jc w:val="both"/>
              <w:rPr>
                <w:rFonts w:ascii="Arial" w:hAnsi="Arial" w:cs="Arial"/>
                <w:b/>
                <w:bCs/>
                <w:sz w:val="18"/>
                <w:szCs w:val="18"/>
              </w:rPr>
            </w:pPr>
            <w:r w:rsidRPr="008A39AA">
              <w:rPr>
                <w:rFonts w:ascii="Arial" w:hAnsi="Arial" w:cs="Arial"/>
                <w:b/>
                <w:bCs/>
                <w:sz w:val="18"/>
                <w:szCs w:val="18"/>
              </w:rPr>
              <w:t>Total</w:t>
            </w:r>
          </w:p>
        </w:tc>
        <w:tc>
          <w:tcPr>
            <w:tcW w:w="2992" w:type="dxa"/>
            <w:tcBorders>
              <w:top w:val="nil"/>
              <w:left w:val="nil"/>
              <w:bottom w:val="single" w:sz="4" w:space="0" w:color="auto"/>
              <w:right w:val="single" w:sz="4" w:space="0" w:color="auto"/>
            </w:tcBorders>
            <w:shd w:val="clear" w:color="auto" w:fill="DDD9C3"/>
            <w:noWrap/>
            <w:vAlign w:val="center"/>
            <w:hideMark/>
          </w:tcPr>
          <w:p w:rsidR="001B04B6" w:rsidRPr="008A39AA" w:rsidRDefault="001B04B6" w:rsidP="001B04B6">
            <w:pPr>
              <w:jc w:val="both"/>
              <w:rPr>
                <w:rFonts w:ascii="Arial" w:hAnsi="Arial" w:cs="Arial"/>
                <w:sz w:val="18"/>
                <w:szCs w:val="18"/>
              </w:rPr>
            </w:pPr>
            <w:r w:rsidRPr="008A39AA">
              <w:rPr>
                <w:rFonts w:ascii="Arial" w:hAnsi="Arial" w:cs="Arial"/>
                <w:sz w:val="18"/>
                <w:szCs w:val="18"/>
              </w:rPr>
              <w:t> </w:t>
            </w:r>
          </w:p>
        </w:tc>
        <w:tc>
          <w:tcPr>
            <w:tcW w:w="1402" w:type="dxa"/>
            <w:tcBorders>
              <w:top w:val="nil"/>
              <w:left w:val="nil"/>
              <w:bottom w:val="single" w:sz="4" w:space="0" w:color="auto"/>
              <w:right w:val="single" w:sz="4" w:space="0" w:color="auto"/>
            </w:tcBorders>
            <w:shd w:val="clear" w:color="auto" w:fill="DDD9C3"/>
            <w:noWrap/>
            <w:vAlign w:val="center"/>
            <w:hideMark/>
          </w:tcPr>
          <w:p w:rsidR="001B04B6" w:rsidRPr="008A39AA" w:rsidRDefault="001B04B6" w:rsidP="001B04B6">
            <w:pPr>
              <w:jc w:val="right"/>
              <w:rPr>
                <w:rFonts w:ascii="Arial" w:hAnsi="Arial" w:cs="Arial"/>
                <w:sz w:val="18"/>
                <w:szCs w:val="18"/>
              </w:rPr>
            </w:pPr>
            <w:r w:rsidRPr="008A39AA">
              <w:rPr>
                <w:rFonts w:ascii="Arial" w:hAnsi="Arial" w:cs="Arial"/>
                <w:sz w:val="18"/>
                <w:szCs w:val="18"/>
              </w:rPr>
              <w:t>6,244,435,095</w:t>
            </w:r>
          </w:p>
        </w:tc>
        <w:tc>
          <w:tcPr>
            <w:tcW w:w="1559" w:type="dxa"/>
            <w:tcBorders>
              <w:top w:val="nil"/>
              <w:left w:val="nil"/>
              <w:bottom w:val="single" w:sz="4" w:space="0" w:color="auto"/>
              <w:right w:val="single" w:sz="4" w:space="0" w:color="auto"/>
            </w:tcBorders>
            <w:shd w:val="clear" w:color="auto" w:fill="DDD9C3"/>
            <w:noWrap/>
            <w:vAlign w:val="center"/>
            <w:hideMark/>
          </w:tcPr>
          <w:p w:rsidR="001B04B6" w:rsidRPr="008A39AA" w:rsidRDefault="001B04B6" w:rsidP="001B04B6">
            <w:pPr>
              <w:jc w:val="right"/>
              <w:rPr>
                <w:rFonts w:ascii="Arial" w:hAnsi="Arial" w:cs="Arial"/>
                <w:sz w:val="18"/>
                <w:szCs w:val="18"/>
              </w:rPr>
            </w:pPr>
            <w:r w:rsidRPr="008A39AA">
              <w:rPr>
                <w:rFonts w:ascii="Arial" w:hAnsi="Arial" w:cs="Arial"/>
                <w:sz w:val="18"/>
                <w:szCs w:val="18"/>
              </w:rPr>
              <w:t>65,946,307</w:t>
            </w:r>
          </w:p>
        </w:tc>
        <w:tc>
          <w:tcPr>
            <w:tcW w:w="1462" w:type="dxa"/>
            <w:tcBorders>
              <w:top w:val="nil"/>
              <w:left w:val="nil"/>
              <w:bottom w:val="single" w:sz="4" w:space="0" w:color="auto"/>
              <w:right w:val="single" w:sz="4" w:space="0" w:color="auto"/>
            </w:tcBorders>
            <w:shd w:val="clear" w:color="auto" w:fill="DDD9C3"/>
            <w:noWrap/>
            <w:vAlign w:val="center"/>
            <w:hideMark/>
          </w:tcPr>
          <w:p w:rsidR="001B04B6" w:rsidRPr="008A39AA" w:rsidRDefault="001B04B6" w:rsidP="001B04B6">
            <w:pPr>
              <w:jc w:val="right"/>
              <w:rPr>
                <w:rFonts w:ascii="Arial" w:hAnsi="Arial" w:cs="Arial"/>
                <w:sz w:val="18"/>
                <w:szCs w:val="18"/>
              </w:rPr>
            </w:pPr>
            <w:r w:rsidRPr="008A39AA">
              <w:rPr>
                <w:rFonts w:ascii="Arial" w:hAnsi="Arial" w:cs="Arial"/>
                <w:sz w:val="18"/>
                <w:szCs w:val="18"/>
              </w:rPr>
              <w:t>455,601,172</w:t>
            </w:r>
          </w:p>
        </w:tc>
      </w:tr>
      <w:tr w:rsidR="001B04B6" w:rsidRPr="0016359A" w:rsidTr="001B04B6">
        <w:trPr>
          <w:trHeight w:val="604"/>
          <w:jc w:val="center"/>
        </w:trPr>
        <w:tc>
          <w:tcPr>
            <w:tcW w:w="8828" w:type="dxa"/>
            <w:gridSpan w:val="5"/>
            <w:tcBorders>
              <w:top w:val="nil"/>
              <w:left w:val="nil"/>
              <w:bottom w:val="nil"/>
              <w:right w:val="nil"/>
            </w:tcBorders>
            <w:shd w:val="clear" w:color="auto" w:fill="auto"/>
            <w:noWrap/>
            <w:vAlign w:val="bottom"/>
            <w:hideMark/>
          </w:tcPr>
          <w:p w:rsidR="001B04B6" w:rsidRPr="0016359A" w:rsidRDefault="001B04B6" w:rsidP="0016359A">
            <w:pPr>
              <w:rPr>
                <w:rFonts w:ascii="Arial" w:hAnsi="Arial" w:cs="Arial"/>
                <w:i/>
                <w:iCs/>
                <w:sz w:val="16"/>
                <w:szCs w:val="16"/>
              </w:rPr>
            </w:pPr>
            <w:r w:rsidRPr="0016359A">
              <w:rPr>
                <w:rFonts w:ascii="Arial" w:hAnsi="Arial" w:cs="Arial"/>
                <w:i/>
                <w:iCs/>
                <w:sz w:val="16"/>
                <w:szCs w:val="16"/>
                <w:vertAlign w:val="superscript"/>
              </w:rPr>
              <w:t>1</w:t>
            </w:r>
            <w:r w:rsidRPr="0016359A">
              <w:rPr>
                <w:rFonts w:ascii="Arial" w:hAnsi="Arial" w:cs="Arial"/>
                <w:i/>
                <w:iCs/>
                <w:sz w:val="16"/>
                <w:szCs w:val="16"/>
              </w:rPr>
              <w:t xml:space="preserve"> El servicio de la deuda considera intereses, gastos y costos de cobertura de la deuda pública de largo plazo.</w:t>
            </w:r>
          </w:p>
        </w:tc>
      </w:tr>
    </w:tbl>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 xml:space="preserve">El calendario de amortizaciones de los siguientes ejercicios fiscales se presenta en el Anexo III de esta </w:t>
      </w:r>
      <w:r>
        <w:rPr>
          <w:rFonts w:ascii="Arial" w:hAnsi="Arial" w:cs="Arial"/>
        </w:rPr>
        <w:t>l</w:t>
      </w:r>
      <w:r w:rsidRPr="00D93F7E">
        <w:rPr>
          <w:rFonts w:ascii="Arial" w:hAnsi="Arial" w:cs="Arial"/>
        </w:rPr>
        <w:t>ey.</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Con base en los resultados del Sistema de Alertas de la Secretaría de Hacienda y Crédito Público, que presenta la clasificación del nivel de endeudamiento al 27 de agosto de 2021, el estado de Yucatán se encuentra clasificado bajo un endeudamiento sostenible</w:t>
      </w:r>
      <w:r>
        <w:rPr>
          <w:rFonts w:ascii="Arial" w:hAnsi="Arial" w:cs="Arial"/>
        </w:rPr>
        <w:t xml:space="preserve"> y </w:t>
      </w:r>
      <w:r w:rsidRPr="00D93F7E">
        <w:rPr>
          <w:rFonts w:ascii="Arial" w:hAnsi="Arial" w:cs="Arial"/>
        </w:rPr>
        <w:t xml:space="preserve">con acceso a un techo de financiamiento neto de hasta el equivalente al quince por ciento de sus ingresos de libre disposición. </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 xml:space="preserve">Si durante el ejercicio fiscal 2022 se actualizara alguno de los supuestos previstos en el artículo 7 de la Ley de Disciplina Financiera de las Entidades Federativas y los Municipios, con base en el cual se proyectara incurrir al cierre del ejercicio en un </w:t>
      </w:r>
      <w:r>
        <w:rPr>
          <w:rFonts w:ascii="Arial" w:hAnsi="Arial" w:cs="Arial"/>
        </w:rPr>
        <w:t>b</w:t>
      </w:r>
      <w:r w:rsidRPr="00D93F7E">
        <w:rPr>
          <w:rFonts w:ascii="Arial" w:hAnsi="Arial" w:cs="Arial"/>
        </w:rPr>
        <w:t xml:space="preserve">alance presupuestario de recursos disponibles negativo, se autoriza al Poder Ejecutivo del estado, conforme al artículo 46, párrafo segundo, de la misma ley, para ampliar el techo de financiamiento neto hasta por el monto de financiamiento neto necesario para solventar las causas que generaron el balance presupuestario de recursos disponible negativo. </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Dentro del programa de financiamiento 2022, el Poder Ejecutivo del estado prevé la posibilidad de disponer de obligaciones de corto plazo para cubrir necesidades de liquidez, conforme a los límites, montos y características establecidos en el artículo 30 de la Ley de Disciplina Financiera de las Entidades Federativas y los Municipios, es decir, teniendo un límite del seis por ciento de los ingresos totales autorizados en esta ley.</w:t>
      </w: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Artículo 5. Reestructura o refinanciamiento de deuda</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 xml:space="preserve">Con base en el análisis de la capacidad de pago del estado de Yucatán, el destino de los financiamientos, </w:t>
      </w:r>
      <w:r>
        <w:rPr>
          <w:rFonts w:ascii="Arial" w:hAnsi="Arial" w:cs="Arial"/>
        </w:rPr>
        <w:t xml:space="preserve">y </w:t>
      </w:r>
      <w:r w:rsidRPr="00D93F7E">
        <w:rPr>
          <w:rFonts w:ascii="Arial" w:hAnsi="Arial" w:cs="Arial"/>
        </w:rPr>
        <w:t xml:space="preserve">la situación de la deuda pública y de los </w:t>
      </w:r>
      <w:r w:rsidRPr="00D93F7E">
        <w:rPr>
          <w:rFonts w:ascii="Arial" w:hAnsi="Arial" w:cs="Arial"/>
        </w:rPr>
        <w:lastRenderedPageBreak/>
        <w:t>recursos a otorgarse como fuente de pago, se autoriza al Poder Ejecutivo del Estado de Yucatán para que, por conducto de la Secretaría de Administración y Finanzas, durante el ejercicio fiscal 2022, celebre una o más operaciones de reestructura o refinanciamiento respecto del crédito celebrado por el estado con Banco Nacional de Obras y Servicios Públicos, S. N. C., el 8 de abril de 2013, financiamiento identificado con la clave de inscripción en el Registro Público Único de Financiamiento y Obligaciones de Entidades Federativas y Municipios a cargo de la Secretaría de Hacienda y Crédito Público de P31-0413037 y cuyo saldo insoluto es de $306,931,762.00</w:t>
      </w:r>
      <w:r>
        <w:rPr>
          <w:rFonts w:ascii="Arial" w:hAnsi="Arial" w:cs="Arial"/>
        </w:rPr>
        <w:t>.</w:t>
      </w:r>
      <w:r w:rsidRPr="00D93F7E">
        <w:rPr>
          <w:rFonts w:ascii="Arial" w:hAnsi="Arial" w:cs="Arial"/>
        </w:rPr>
        <w:t xml:space="preserve"> En la operación de reestructura o refinanciamiento se mantendrá la fecha de vencimiento actualmente vigente y, para tal efecto, se autoriza al Poder Ejecutivo del estado para que afecte el monto o porcentaje necesario y suficiente de ingresos por participaciones en ingresos federales, ingresos propios o aportaciones federales susceptibles de afectación y suscriba los convenios o instrumentos necesarios o convenientes. </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 xml:space="preserve">La reestructura o refinanciamiento autorizados en </w:t>
      </w:r>
      <w:r>
        <w:rPr>
          <w:rFonts w:ascii="Arial" w:hAnsi="Arial" w:cs="Arial"/>
        </w:rPr>
        <w:t>este</w:t>
      </w:r>
      <w:r w:rsidRPr="00D93F7E">
        <w:rPr>
          <w:rFonts w:ascii="Arial" w:hAnsi="Arial" w:cs="Arial"/>
        </w:rPr>
        <w:t xml:space="preserve"> artículo comprenden la revisión en el monto, tasa, plazo, amortización, garantías, instrumentos derivados, fuente de pago y fideicomisos, ingresos afectados como fuente de pago o garantía de pago, fondos de reserva pactados</w:t>
      </w:r>
      <w:r>
        <w:rPr>
          <w:rFonts w:ascii="Arial" w:hAnsi="Arial" w:cs="Arial"/>
        </w:rPr>
        <w:t xml:space="preserve"> y </w:t>
      </w:r>
      <w:r w:rsidRPr="00D93F7E">
        <w:rPr>
          <w:rFonts w:ascii="Arial" w:hAnsi="Arial" w:cs="Arial"/>
        </w:rPr>
        <w:t>comisiones, así como las modificaciones necesarias a las demás condiciones</w:t>
      </w:r>
      <w:r>
        <w:rPr>
          <w:rFonts w:ascii="Arial" w:hAnsi="Arial" w:cs="Arial"/>
        </w:rPr>
        <w:t xml:space="preserve">, </w:t>
      </w:r>
      <w:r w:rsidRPr="00D93F7E">
        <w:rPr>
          <w:rFonts w:ascii="Arial" w:hAnsi="Arial" w:cs="Arial"/>
        </w:rPr>
        <w:t xml:space="preserve">obligaciones y derechos previamente pactados, autorizándose a emplear como mecanismo de fuente de pago de las operaciones de financiamiento que se celebren con base en la presente autorización el Fideicomiso Irrevocable de Administración y Fuente de Pago No. 4109088, constituido el 6 de noviembre de 2019, como fideicomiso maestro de la deuda pública estatal. </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La autorización a que se refiere este artículo se ejercerá hasta por el monto del saldo insoluto de las obligaciones al momento de su celebración, sin implicar nuevas disposiciones o incremento en el saldo de la deuda pública.</w:t>
      </w:r>
    </w:p>
    <w:p w:rsidR="001B04B6" w:rsidRPr="00D93F7E" w:rsidRDefault="001B04B6" w:rsidP="001B04B6">
      <w:pPr>
        <w:spacing w:before="100" w:beforeAutospacing="1" w:after="100" w:afterAutospacing="1"/>
        <w:jc w:val="both"/>
        <w:rPr>
          <w:rFonts w:ascii="Arial" w:hAnsi="Arial" w:cs="Arial"/>
          <w:b/>
        </w:rPr>
      </w:pPr>
      <w:bookmarkStart w:id="6" w:name="_Hlk88302609"/>
      <w:r w:rsidRPr="00D93F7E">
        <w:rPr>
          <w:rFonts w:ascii="Arial" w:hAnsi="Arial" w:cs="Arial"/>
          <w:b/>
        </w:rPr>
        <w:t xml:space="preserve">Artículo 6. Instrumentos </w:t>
      </w:r>
      <w:r>
        <w:rPr>
          <w:rFonts w:ascii="Arial" w:hAnsi="Arial" w:cs="Arial"/>
          <w:b/>
        </w:rPr>
        <w:t>d</w:t>
      </w:r>
      <w:r w:rsidRPr="00D93F7E">
        <w:rPr>
          <w:rFonts w:ascii="Arial" w:hAnsi="Arial" w:cs="Arial"/>
          <w:b/>
        </w:rPr>
        <w:t xml:space="preserve">erivados </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 xml:space="preserve">Con base en el análisis de la capacidad de pago del </w:t>
      </w:r>
      <w:r>
        <w:rPr>
          <w:rFonts w:ascii="Arial" w:hAnsi="Arial" w:cs="Arial"/>
        </w:rPr>
        <w:t>e</w:t>
      </w:r>
      <w:r w:rsidRPr="00D93F7E">
        <w:rPr>
          <w:rFonts w:ascii="Arial" w:hAnsi="Arial" w:cs="Arial"/>
        </w:rPr>
        <w:t xml:space="preserve">stado, </w:t>
      </w:r>
      <w:r>
        <w:rPr>
          <w:rFonts w:ascii="Arial" w:hAnsi="Arial" w:cs="Arial"/>
        </w:rPr>
        <w:t xml:space="preserve">y </w:t>
      </w:r>
      <w:r w:rsidRPr="00D93F7E">
        <w:rPr>
          <w:rFonts w:ascii="Arial" w:hAnsi="Arial" w:cs="Arial"/>
        </w:rPr>
        <w:t>del destino de los recursos</w:t>
      </w:r>
      <w:r>
        <w:rPr>
          <w:rFonts w:ascii="Arial" w:hAnsi="Arial" w:cs="Arial"/>
        </w:rPr>
        <w:t>,</w:t>
      </w:r>
      <w:r w:rsidRPr="00D93F7E">
        <w:rPr>
          <w:rFonts w:ascii="Arial" w:hAnsi="Arial" w:cs="Arial"/>
        </w:rPr>
        <w:t xml:space="preserve"> tanto a obtenerse</w:t>
      </w:r>
      <w:r>
        <w:rPr>
          <w:rFonts w:ascii="Arial" w:hAnsi="Arial" w:cs="Arial"/>
        </w:rPr>
        <w:t xml:space="preserve"> </w:t>
      </w:r>
      <w:r w:rsidRPr="00D93F7E">
        <w:rPr>
          <w:rFonts w:ascii="Arial" w:hAnsi="Arial" w:cs="Arial"/>
        </w:rPr>
        <w:t>como a otorgarse como fuente de pago, se autoriza al Poder Ejecutivo del Estado de Yucatán para que, por conducto de la Secretaría de Administración y Finanzas</w:t>
      </w:r>
      <w:r>
        <w:rPr>
          <w:rFonts w:ascii="Arial" w:hAnsi="Arial" w:cs="Arial"/>
        </w:rPr>
        <w:t>,</w:t>
      </w:r>
      <w:r w:rsidRPr="00D93F7E">
        <w:rPr>
          <w:rFonts w:ascii="Arial" w:hAnsi="Arial" w:cs="Arial"/>
        </w:rPr>
        <w:t xml:space="preserve"> en cumplimiento de las obligaciones asumidas en los contratos constitutivos de deuda pública inscritos ante el Registro Público Único de Financiamiento y Obligaciones de Entidades Federativas y Municipios a cargo de la Secretaría de Hacienda y Crédito Público</w:t>
      </w:r>
      <w:r>
        <w:rPr>
          <w:rFonts w:ascii="Arial" w:hAnsi="Arial" w:cs="Arial"/>
        </w:rPr>
        <w:t>,</w:t>
      </w:r>
      <w:r w:rsidRPr="00D93F7E">
        <w:rPr>
          <w:rFonts w:ascii="Arial" w:hAnsi="Arial" w:cs="Arial"/>
        </w:rPr>
        <w:t xml:space="preserve"> con clave de inscripción P31-1119054, P31-1020086, P31-1020087 y P31-1020088, durante el ejercicio 2022 celebre operaciones financieras de cobertura</w:t>
      </w:r>
      <w:r>
        <w:rPr>
          <w:rFonts w:ascii="Arial" w:hAnsi="Arial" w:cs="Arial"/>
        </w:rPr>
        <w:t xml:space="preserve">, es decir, </w:t>
      </w:r>
      <w:r w:rsidRPr="00D93F7E">
        <w:rPr>
          <w:rFonts w:ascii="Arial" w:hAnsi="Arial" w:cs="Arial"/>
        </w:rPr>
        <w:t>instrumentos derivados</w:t>
      </w:r>
      <w:r>
        <w:rPr>
          <w:rFonts w:ascii="Arial" w:hAnsi="Arial" w:cs="Arial"/>
        </w:rPr>
        <w:t>,</w:t>
      </w:r>
      <w:r w:rsidRPr="00D93F7E">
        <w:rPr>
          <w:rFonts w:ascii="Arial" w:hAnsi="Arial" w:cs="Arial"/>
        </w:rPr>
        <w:t xml:space="preserve"> </w:t>
      </w:r>
      <w:r>
        <w:rPr>
          <w:rFonts w:ascii="Arial" w:hAnsi="Arial" w:cs="Arial"/>
        </w:rPr>
        <w:t xml:space="preserve">o </w:t>
      </w:r>
      <w:r w:rsidRPr="00D93F7E">
        <w:rPr>
          <w:rFonts w:ascii="Arial" w:hAnsi="Arial" w:cs="Arial"/>
        </w:rPr>
        <w:t xml:space="preserve">pacte su renovación, reestructura </w:t>
      </w:r>
      <w:r w:rsidRPr="00D93F7E">
        <w:rPr>
          <w:rFonts w:ascii="Arial" w:hAnsi="Arial" w:cs="Arial"/>
        </w:rPr>
        <w:lastRenderedPageBreak/>
        <w:t>o adecuación, bajo la modalidad que se estime conveniente, hasta por el total del saldo insoluto del financiamiento objeto de cobertura y por un plazo de vigencia de hasta</w:t>
      </w:r>
      <w:r>
        <w:rPr>
          <w:rFonts w:ascii="Arial" w:hAnsi="Arial" w:cs="Arial"/>
        </w:rPr>
        <w:t xml:space="preserve"> </w:t>
      </w:r>
      <w:r w:rsidRPr="00D93F7E">
        <w:rPr>
          <w:rFonts w:ascii="Arial" w:hAnsi="Arial" w:cs="Arial"/>
        </w:rPr>
        <w:t>sesenta meses, a efecto de mitigar los riesgos económico-financieros de variaciones a la tasa de referencia pactada en los créditos objeto de cobertura.</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Tratándose de operaciones de intercambio de tasa de interés</w:t>
      </w:r>
      <w:r>
        <w:rPr>
          <w:rFonts w:ascii="Arial" w:hAnsi="Arial" w:cs="Arial"/>
        </w:rPr>
        <w:t xml:space="preserve">, es decir, </w:t>
      </w:r>
      <w:r w:rsidRPr="00D93F7E">
        <w:rPr>
          <w:rFonts w:ascii="Arial" w:hAnsi="Arial" w:cs="Arial"/>
        </w:rPr>
        <w:t>swaps, collar o swap bonificado, se podrá afectar como fuente de pago el mismo porcentaje de ingresos afecto al servicio de la deuda del crédito objeto de cobertura y, para tal efecto, se autoriza inscribir las operaciones de cobertura celebradas o su reestructura en el mismo fideicomiso pactado como mecanismo de fuente de pago.</w:t>
      </w:r>
    </w:p>
    <w:bookmarkEnd w:id="6"/>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Artículo 7. Adeudos de ejercicios fiscales anteriores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Durante el ejercicio fiscal 2022, se considerarán adeudos del ejercicio fiscal 2021 de al menos $150,000,000.00, cifra que podrá incrementarse hasta por el porcentaje correspondiente de los ingresos totales establecidos en esta ley, de conformidad con el artículo 12 de la Ley de Disciplina Financiera de las Entidades Federativas y los Municipios, siempre que se cumpla con los requisitos establecidos en los capítulos VII y VIII del título tercero del Reglamento de la Ley del Presupuesto y Contabilidad Gubernamental del Estado de Yucatán.</w:t>
      </w: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 xml:space="preserve">Artículo 8. Ingresos acumulados excedentes </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 xml:space="preserve">Los ingresos acumulados de </w:t>
      </w:r>
      <w:r>
        <w:rPr>
          <w:rFonts w:ascii="Arial" w:hAnsi="Arial" w:cs="Arial"/>
        </w:rPr>
        <w:t xml:space="preserve">las dependencias y entidades del Poder Ejecutivo del estado, </w:t>
      </w:r>
      <w:r w:rsidRPr="00D93F7E">
        <w:rPr>
          <w:rFonts w:ascii="Arial" w:hAnsi="Arial" w:cs="Arial"/>
        </w:rPr>
        <w:t>los poderes Legislativo y Judicial</w:t>
      </w:r>
      <w:r>
        <w:rPr>
          <w:rFonts w:ascii="Arial" w:hAnsi="Arial" w:cs="Arial"/>
        </w:rPr>
        <w:t>, y</w:t>
      </w:r>
      <w:r w:rsidRPr="00D93F7E">
        <w:rPr>
          <w:rFonts w:ascii="Arial" w:hAnsi="Arial" w:cs="Arial"/>
        </w:rPr>
        <w:t xml:space="preserve"> los órganos autónomos por disposición constitucional</w:t>
      </w:r>
      <w:r>
        <w:rPr>
          <w:rFonts w:ascii="Arial" w:hAnsi="Arial" w:cs="Arial"/>
        </w:rPr>
        <w:t xml:space="preserve"> </w:t>
      </w:r>
      <w:r w:rsidRPr="00D93F7E">
        <w:rPr>
          <w:rFonts w:ascii="Arial" w:hAnsi="Arial" w:cs="Arial"/>
        </w:rPr>
        <w:t>que, durante el ejercicio fiscal 2022, se obtengan en exceso de los aprobados en esta ley, deberán ser aplicados en los términos de la Ley del Presupuesto y Contabilidad Gubernamental del Estado de Yucatán, su reglamento</w:t>
      </w:r>
      <w:r>
        <w:rPr>
          <w:rFonts w:ascii="Arial" w:hAnsi="Arial" w:cs="Arial"/>
        </w:rPr>
        <w:t>,</w:t>
      </w:r>
      <w:r w:rsidRPr="00D93F7E">
        <w:rPr>
          <w:rFonts w:ascii="Arial" w:hAnsi="Arial" w:cs="Arial"/>
        </w:rPr>
        <w:t xml:space="preserve"> y la Ley de Disciplina Financiera de las Entidades Federativas y los Municipios.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En el caso de los ingresos de libre disposición que se encuentren destinados a un fin específico, en términos de las leyes, no resultarán aplicables las disposiciones establecidas en el artículo 14 de la Ley de Disciplina Financiera de las Entidades Federativas y los Municipios.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 xml:space="preserve">Asimismo, los ingresos excedentes que provengan de los fondos de aportaciones federales para el estado o los municipios y de recursos federales </w:t>
      </w:r>
      <w:r w:rsidRPr="00D93F7E">
        <w:rPr>
          <w:rFonts w:ascii="Arial" w:hAnsi="Arial" w:cs="Arial"/>
        </w:rPr>
        <w:lastRenderedPageBreak/>
        <w:t>reasignados o federalizados, se destinarán a los fines legalmente establecidos o convenidos, conforme a la normativa federal aplicable.</w:t>
      </w: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Artículo 9. Convenios celebrados con el Gobierno federal</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Las dependencias y entidades que, en términos del artículo 26 de la Ley del Presupuesto y Contabilidad Gubernamental del Estado de Yucatán, celebren contratos o convenios con el Gobierno federal, los cuales impliquen ingresos para la Hacienda pública estatal, deberán remitir copia de dichos instrumentos legales a la Secretaría de Administración y Finanzas, dentro del plazo de quince días hábiles siguientes a su suscripción, para efectos de conocer los montos de los ingresos que serán depositados a las cuentas de esta secretaría.</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Para el registro de los contratos o convenios a que se refiere este artículo, las dependencias y entidades deberán informar a la Secretaría de Administración y Finanzas sobre la recepción de los recursos correspondientes, a más tardar, dentro de los diez días hábiles posteriores.</w:t>
      </w: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Artículo 10. Participaciones municipales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El Poder Ejecutivo del estado, por conducto de la Secretaría de Administración y Finanzas, recibirá las participaciones que correspondan a los municipios, en aquellos casos en que las disposiciones relativas de la Ley de Coordinación Fiscal, la Ley General de Contabilidad Gubernamental y las demás disposiciones normativas aplicables así lo determinen.</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 xml:space="preserve">La distribución de las participaciones se basa en las estimaciones publicadas en el Presupuesto de Egresos de la Federación para el </w:t>
      </w:r>
      <w:r>
        <w:rPr>
          <w:rFonts w:ascii="Arial" w:hAnsi="Arial" w:cs="Arial"/>
        </w:rPr>
        <w:t>E</w:t>
      </w:r>
      <w:r w:rsidRPr="00D93F7E">
        <w:rPr>
          <w:rFonts w:ascii="Arial" w:hAnsi="Arial" w:cs="Arial"/>
        </w:rPr>
        <w:t xml:space="preserve">jercicio </w:t>
      </w:r>
      <w:r>
        <w:rPr>
          <w:rFonts w:ascii="Arial" w:hAnsi="Arial" w:cs="Arial"/>
        </w:rPr>
        <w:t>F</w:t>
      </w:r>
      <w:r w:rsidRPr="00D93F7E">
        <w:rPr>
          <w:rFonts w:ascii="Arial" w:hAnsi="Arial" w:cs="Arial"/>
        </w:rPr>
        <w:t xml:space="preserve">iscal 2022, </w:t>
      </w:r>
      <w:r>
        <w:rPr>
          <w:rFonts w:ascii="Arial" w:hAnsi="Arial" w:cs="Arial"/>
        </w:rPr>
        <w:t xml:space="preserve">y en la </w:t>
      </w:r>
      <w:r w:rsidRPr="00D93F7E">
        <w:rPr>
          <w:rFonts w:ascii="Arial" w:hAnsi="Arial" w:cs="Arial"/>
        </w:rPr>
        <w:t xml:space="preserve">base del cálculo con coeficientes de 2021. Por lo </w:t>
      </w:r>
      <w:r>
        <w:rPr>
          <w:rFonts w:ascii="Arial" w:hAnsi="Arial" w:cs="Arial"/>
        </w:rPr>
        <w:t>tanto</w:t>
      </w:r>
      <w:r w:rsidRPr="00D93F7E">
        <w:rPr>
          <w:rFonts w:ascii="Arial" w:hAnsi="Arial" w:cs="Arial"/>
        </w:rPr>
        <w:t xml:space="preserve">, el ejercicio de las participaciones por parte de los municipios deberá ser con cautela, ya que el monto definitivo dependerá de la </w:t>
      </w:r>
      <w:r>
        <w:rPr>
          <w:rFonts w:ascii="Arial" w:hAnsi="Arial" w:cs="Arial"/>
        </w:rPr>
        <w:t>R</w:t>
      </w:r>
      <w:r w:rsidRPr="00D93F7E">
        <w:rPr>
          <w:rFonts w:ascii="Arial" w:hAnsi="Arial" w:cs="Arial"/>
        </w:rPr>
        <w:t xml:space="preserve">ecaudación </w:t>
      </w:r>
      <w:r>
        <w:rPr>
          <w:rFonts w:ascii="Arial" w:hAnsi="Arial" w:cs="Arial"/>
        </w:rPr>
        <w:t>F</w:t>
      </w:r>
      <w:r w:rsidRPr="00D93F7E">
        <w:rPr>
          <w:rFonts w:ascii="Arial" w:hAnsi="Arial" w:cs="Arial"/>
        </w:rPr>
        <w:t xml:space="preserve">ederal </w:t>
      </w:r>
      <w:r>
        <w:rPr>
          <w:rFonts w:ascii="Arial" w:hAnsi="Arial" w:cs="Arial"/>
        </w:rPr>
        <w:t>P</w:t>
      </w:r>
      <w:r w:rsidRPr="00D93F7E">
        <w:rPr>
          <w:rFonts w:ascii="Arial" w:hAnsi="Arial" w:cs="Arial"/>
        </w:rPr>
        <w:t>articipable observada en el ejercicio y los coeficientes de distribución definitivos para el 2022.</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 xml:space="preserve">Para efectos de lo previsto en el artículo 115, fracción IV, inciso b), de la Constitución Política de los Estados Unidos Mexicanos, las bases, montos y plazos para la distribución de </w:t>
      </w:r>
      <w:r>
        <w:rPr>
          <w:rFonts w:ascii="Arial" w:hAnsi="Arial" w:cs="Arial"/>
        </w:rPr>
        <w:t xml:space="preserve">las </w:t>
      </w:r>
      <w:r w:rsidRPr="00D93F7E">
        <w:rPr>
          <w:rFonts w:ascii="Arial" w:hAnsi="Arial" w:cs="Arial"/>
        </w:rPr>
        <w:t xml:space="preserve">participaciones federales </w:t>
      </w:r>
      <w:r>
        <w:rPr>
          <w:rFonts w:ascii="Arial" w:hAnsi="Arial" w:cs="Arial"/>
        </w:rPr>
        <w:t xml:space="preserve">destinadas </w:t>
      </w:r>
      <w:r w:rsidRPr="00D93F7E">
        <w:rPr>
          <w:rFonts w:ascii="Arial" w:hAnsi="Arial" w:cs="Arial"/>
        </w:rPr>
        <w:t>a los municipios del estado</w:t>
      </w:r>
      <w:r>
        <w:rPr>
          <w:rFonts w:ascii="Arial" w:hAnsi="Arial" w:cs="Arial"/>
        </w:rPr>
        <w:t xml:space="preserve"> </w:t>
      </w:r>
      <w:r w:rsidRPr="00D93F7E">
        <w:rPr>
          <w:rFonts w:ascii="Arial" w:hAnsi="Arial" w:cs="Arial"/>
        </w:rPr>
        <w:t>s</w:t>
      </w:r>
      <w:r>
        <w:rPr>
          <w:rFonts w:ascii="Arial" w:hAnsi="Arial" w:cs="Arial"/>
        </w:rPr>
        <w:t>erá</w:t>
      </w:r>
      <w:r w:rsidRPr="00D93F7E">
        <w:rPr>
          <w:rFonts w:ascii="Arial" w:hAnsi="Arial" w:cs="Arial"/>
        </w:rPr>
        <w:t>n las que se establecen en la Ley de Coordinación Fiscal del Estado de Yucatán.</w:t>
      </w: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 xml:space="preserve">Artículo 11. Calendario de ingresos </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lastRenderedPageBreak/>
        <w:t xml:space="preserve">Los entes públicos que reciban </w:t>
      </w:r>
      <w:r>
        <w:rPr>
          <w:rFonts w:ascii="Arial" w:hAnsi="Arial" w:cs="Arial"/>
        </w:rPr>
        <w:t xml:space="preserve">los </w:t>
      </w:r>
      <w:r w:rsidRPr="00D93F7E">
        <w:rPr>
          <w:rFonts w:ascii="Arial" w:hAnsi="Arial" w:cs="Arial"/>
        </w:rPr>
        <w:t>ingresos señalados en el artículo 2 de esta ley deberán formular su calendario de ingresos con base mensual en los formatos que para tal efecto determine el Consejo Nacional de Armonización Contable, y remitirlo a la Secretaría de Administración y Finanzas durante los primeros quince días del mes de enero.</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La Secretaría de Administración y Finanzas publicará, a más tardar el último día de enero, en su sitio web, los calendarios de ingresos con base mensual que reciba, en los formatos que para tal efecto determine el Consejo Nacional de Armonización Contable, de conformidad con el párrafo segundo del artículo 66 de la Ley General de Contabilidad Gubernamental.</w:t>
      </w: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Artículo 12. Aprovechamientos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 xml:space="preserve">El Poder Ejecutivo del </w:t>
      </w:r>
      <w:r>
        <w:rPr>
          <w:rFonts w:ascii="Arial" w:hAnsi="Arial" w:cs="Arial"/>
        </w:rPr>
        <w:t>e</w:t>
      </w:r>
      <w:r w:rsidRPr="00D93F7E">
        <w:rPr>
          <w:rFonts w:ascii="Arial" w:hAnsi="Arial" w:cs="Arial"/>
        </w:rPr>
        <w:t xml:space="preserve">stado, por conducto de la Secretaría de Administración y Finanzas, queda autorizado para fijar o modificar los aprovechamientos que cobren las dependencias durante el ejercicio fiscal 2022, por el uso, goce, aprovechamiento o explotación de bienes sujetos al régimen de dominio público del </w:t>
      </w:r>
      <w:r>
        <w:rPr>
          <w:rFonts w:ascii="Arial" w:hAnsi="Arial" w:cs="Arial"/>
        </w:rPr>
        <w:t>e</w:t>
      </w:r>
      <w:r w:rsidRPr="00D93F7E">
        <w:rPr>
          <w:rFonts w:ascii="Arial" w:hAnsi="Arial" w:cs="Arial"/>
        </w:rPr>
        <w:t>stado</w:t>
      </w:r>
      <w:r>
        <w:rPr>
          <w:rFonts w:ascii="Arial" w:hAnsi="Arial" w:cs="Arial"/>
        </w:rPr>
        <w:t>,</w:t>
      </w:r>
      <w:r w:rsidRPr="00D93F7E">
        <w:rPr>
          <w:rFonts w:ascii="Arial" w:hAnsi="Arial" w:cs="Arial"/>
        </w:rPr>
        <w:t xml:space="preserve"> o por la prestación de servicios en el ejercicio de las funciones de derecho público por los que no se establecen derechos o que, por cualquier causa legal, no se paguen. </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 xml:space="preserve">La Secretaría de Administración y Finanzas, mediante resoluciones de carácter particular, aprobará los montos de los aprovechamientos que cobren las dependencias de la Administración Pública </w:t>
      </w:r>
      <w:r>
        <w:rPr>
          <w:rFonts w:ascii="Arial" w:hAnsi="Arial" w:cs="Arial"/>
        </w:rPr>
        <w:t>e</w:t>
      </w:r>
      <w:r w:rsidRPr="00D93F7E">
        <w:rPr>
          <w:rFonts w:ascii="Arial" w:hAnsi="Arial" w:cs="Arial"/>
        </w:rPr>
        <w:t>statal, salvo cuando su determinación y cobro se encuentren previstos en otras leyes</w:t>
      </w:r>
      <w:r>
        <w:rPr>
          <w:rFonts w:ascii="Arial" w:hAnsi="Arial" w:cs="Arial"/>
        </w:rPr>
        <w:t xml:space="preserve">. </w:t>
      </w:r>
      <w:r w:rsidRPr="00D93F7E">
        <w:rPr>
          <w:rFonts w:ascii="Arial" w:hAnsi="Arial" w:cs="Arial"/>
        </w:rPr>
        <w:t>Los aprovechamientos que cobren las entidades se sujetarán a la aprobación de</w:t>
      </w:r>
      <w:r>
        <w:rPr>
          <w:rFonts w:ascii="Arial" w:hAnsi="Arial" w:cs="Arial"/>
        </w:rPr>
        <w:t>l</w:t>
      </w:r>
      <w:r w:rsidRPr="00D93F7E">
        <w:rPr>
          <w:rFonts w:ascii="Arial" w:hAnsi="Arial" w:cs="Arial"/>
        </w:rPr>
        <w:t xml:space="preserve"> órgano de gobierno correspondiente</w:t>
      </w:r>
      <w:r>
        <w:rPr>
          <w:rFonts w:ascii="Arial" w:hAnsi="Arial" w:cs="Arial"/>
        </w:rPr>
        <w:t>,</w:t>
      </w:r>
      <w:r w:rsidRPr="00D93F7E">
        <w:rPr>
          <w:rFonts w:ascii="Arial" w:hAnsi="Arial" w:cs="Arial"/>
        </w:rPr>
        <w:t xml:space="preserve"> </w:t>
      </w:r>
      <w:r>
        <w:rPr>
          <w:rFonts w:ascii="Arial" w:hAnsi="Arial" w:cs="Arial"/>
        </w:rPr>
        <w:t>de conformidad con</w:t>
      </w:r>
      <w:r w:rsidRPr="00D93F7E">
        <w:rPr>
          <w:rFonts w:ascii="Arial" w:hAnsi="Arial" w:cs="Arial"/>
        </w:rPr>
        <w:t xml:space="preserve"> la normativ</w:t>
      </w:r>
      <w:r>
        <w:rPr>
          <w:rFonts w:ascii="Arial" w:hAnsi="Arial" w:cs="Arial"/>
        </w:rPr>
        <w:t>idad</w:t>
      </w:r>
      <w:r w:rsidRPr="00D93F7E">
        <w:rPr>
          <w:rFonts w:ascii="Arial" w:hAnsi="Arial" w:cs="Arial"/>
        </w:rPr>
        <w:t xml:space="preserve"> aplicable, con excepción de aquellos que se determinen por acuerdo del Ejecutivo del </w:t>
      </w:r>
      <w:r>
        <w:rPr>
          <w:rFonts w:ascii="Arial" w:hAnsi="Arial" w:cs="Arial"/>
        </w:rPr>
        <w:t>e</w:t>
      </w:r>
      <w:r w:rsidRPr="00D93F7E">
        <w:rPr>
          <w:rFonts w:ascii="Arial" w:hAnsi="Arial" w:cs="Arial"/>
        </w:rPr>
        <w:t>stado.</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Las autorizaciones otorgadas para fijar o modificar las cuotas de los aprovechamientos durante el ejercicio fiscal 2022</w:t>
      </w:r>
      <w:r>
        <w:rPr>
          <w:rFonts w:ascii="Arial" w:hAnsi="Arial" w:cs="Arial"/>
        </w:rPr>
        <w:t xml:space="preserve"> </w:t>
      </w:r>
      <w:r w:rsidRPr="00D93F7E">
        <w:rPr>
          <w:rFonts w:ascii="Arial" w:hAnsi="Arial" w:cs="Arial"/>
        </w:rPr>
        <w:t>solo surtirán sus efectos para ese año. En tanto no sean autorizados los aprovechamientos a que se refiere este artículo para el ejercicio fiscal 2022, se aplicarán los vigentes al 31 de diciembre de 2021.</w:t>
      </w:r>
    </w:p>
    <w:p w:rsidR="001B04B6" w:rsidRPr="00D93F7E" w:rsidRDefault="001B04B6" w:rsidP="001B04B6">
      <w:pPr>
        <w:spacing w:before="100" w:beforeAutospacing="1" w:after="100" w:afterAutospacing="1"/>
        <w:jc w:val="both"/>
        <w:rPr>
          <w:rFonts w:ascii="Arial" w:hAnsi="Arial" w:cs="Arial"/>
        </w:rPr>
      </w:pPr>
      <w:r>
        <w:rPr>
          <w:rFonts w:ascii="Arial" w:hAnsi="Arial" w:cs="Arial"/>
        </w:rPr>
        <w:t>Los aprovechamientos</w:t>
      </w:r>
      <w:r w:rsidRPr="00D93F7E">
        <w:rPr>
          <w:rFonts w:ascii="Arial" w:hAnsi="Arial" w:cs="Arial"/>
        </w:rPr>
        <w:t xml:space="preserve"> </w:t>
      </w:r>
      <w:r>
        <w:rPr>
          <w:rFonts w:ascii="Arial" w:hAnsi="Arial" w:cs="Arial"/>
        </w:rPr>
        <w:t xml:space="preserve">fijados en porcentaje que se encuentren vigentes al </w:t>
      </w:r>
      <w:r w:rsidRPr="00D93F7E">
        <w:rPr>
          <w:rFonts w:ascii="Arial" w:hAnsi="Arial" w:cs="Arial"/>
        </w:rPr>
        <w:t xml:space="preserve">31 de diciembre de 2021, </w:t>
      </w:r>
      <w:r>
        <w:rPr>
          <w:rFonts w:ascii="Arial" w:hAnsi="Arial" w:cs="Arial"/>
        </w:rPr>
        <w:t xml:space="preserve">se continuarán aplicando durante el ejercicio fiscal 2022, </w:t>
      </w:r>
      <w:r w:rsidRPr="00D93F7E">
        <w:rPr>
          <w:rFonts w:ascii="Arial" w:hAnsi="Arial" w:cs="Arial"/>
        </w:rPr>
        <w:t xml:space="preserve">hasta en tanto la secretaría o el órgano de gobierno correspondiente no emita autorización para </w:t>
      </w:r>
      <w:r>
        <w:rPr>
          <w:rFonts w:ascii="Arial" w:hAnsi="Arial" w:cs="Arial"/>
        </w:rPr>
        <w:t>este último ejercicio fiscal.</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lastRenderedPageBreak/>
        <w:t>En cuanto a los aprovechamientos que no hayan sido cobrados en el ejercicio inmediato anterior o que no se cobren de manera regular, las dependencias o entidades interesadas deberán someter</w:t>
      </w:r>
      <w:r>
        <w:rPr>
          <w:rFonts w:ascii="Arial" w:hAnsi="Arial" w:cs="Arial"/>
        </w:rPr>
        <w:t>,</w:t>
      </w:r>
      <w:r w:rsidRPr="00D93F7E">
        <w:rPr>
          <w:rFonts w:ascii="Arial" w:hAnsi="Arial" w:cs="Arial"/>
        </w:rPr>
        <w:t xml:space="preserve"> para su autorización, el monto de los aprovechamientos que pretendan cobrar, en un plazo no menor a diez días hábiles anteriores a la fecha de su entrada en vigor. </w:t>
      </w:r>
    </w:p>
    <w:p w:rsidR="001B04B6" w:rsidRPr="00D93F7E" w:rsidRDefault="0016359A" w:rsidP="001B04B6">
      <w:pPr>
        <w:spacing w:before="100" w:beforeAutospacing="1" w:after="100" w:afterAutospacing="1"/>
        <w:jc w:val="both"/>
        <w:rPr>
          <w:rFonts w:ascii="Arial" w:hAnsi="Arial" w:cs="Arial"/>
          <w:b/>
        </w:rPr>
      </w:pPr>
      <w:r>
        <w:rPr>
          <w:rFonts w:ascii="Arial" w:hAnsi="Arial" w:cs="Arial"/>
          <w:b/>
        </w:rPr>
        <w:br w:type="page"/>
      </w:r>
      <w:r w:rsidR="001B04B6" w:rsidRPr="00D93F7E">
        <w:rPr>
          <w:rFonts w:ascii="Arial" w:hAnsi="Arial" w:cs="Arial"/>
          <w:b/>
        </w:rPr>
        <w:lastRenderedPageBreak/>
        <w:t>Artículo 13. Productos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El Poder Ejecutivo del estado, por conducto de la Secretaría de Administración y Finanzas, queda autorizado para fijar o modificar, mediante resoluciones de carácter particular, las cuotas de los productos que pretendan cobrar las dependencias durante el ejercicio fiscal 2022, a</w:t>
      </w:r>
      <w:r>
        <w:rPr>
          <w:rFonts w:ascii="Arial" w:hAnsi="Arial" w:cs="Arial"/>
        </w:rPr>
        <w:t>u</w:t>
      </w:r>
      <w:r w:rsidRPr="00D93F7E">
        <w:rPr>
          <w:rFonts w:ascii="Arial" w:hAnsi="Arial" w:cs="Arial"/>
        </w:rPr>
        <w:t>n cuando su cobro se encuentre previsto en otras leyes.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Las autorizaciones para fijar o modificar las cuotas de los productos que otorgue la Secretaría de Administración y Finanzas durante el ejercicio fiscal 2022, solo surtirán sus efectos para es</w:t>
      </w:r>
      <w:r>
        <w:rPr>
          <w:rFonts w:ascii="Arial" w:hAnsi="Arial" w:cs="Arial"/>
        </w:rPr>
        <w:t>t</w:t>
      </w:r>
      <w:r w:rsidRPr="00D93F7E">
        <w:rPr>
          <w:rFonts w:ascii="Arial" w:hAnsi="Arial" w:cs="Arial"/>
        </w:rPr>
        <w:t>e año. En tanto no sean autorizados los productos a que se refiere este artículo para el ejercicio fiscal 2022, se aplicarán los vigentes al 31 de diciembre de 2021.</w:t>
      </w:r>
    </w:p>
    <w:p w:rsidR="001B04B6" w:rsidRPr="00D93F7E" w:rsidRDefault="001B04B6" w:rsidP="001B04B6">
      <w:pPr>
        <w:spacing w:before="100" w:beforeAutospacing="1" w:after="100" w:afterAutospacing="1"/>
        <w:jc w:val="both"/>
        <w:rPr>
          <w:rFonts w:ascii="Arial" w:hAnsi="Arial" w:cs="Arial"/>
        </w:rPr>
      </w:pPr>
      <w:r>
        <w:rPr>
          <w:rFonts w:ascii="Arial" w:hAnsi="Arial" w:cs="Arial"/>
        </w:rPr>
        <w:t xml:space="preserve">Los productos fijados en porcentaje que se encuentren vigentes al 31 de diciembre de 2021, se continuarán aplicando durante el ejercicio fiscal 2022, </w:t>
      </w:r>
      <w:r w:rsidRPr="00D93F7E">
        <w:rPr>
          <w:rFonts w:ascii="Arial" w:hAnsi="Arial" w:cs="Arial"/>
        </w:rPr>
        <w:t xml:space="preserve">hasta en tanto </w:t>
      </w:r>
      <w:r>
        <w:rPr>
          <w:rFonts w:ascii="Arial" w:hAnsi="Arial" w:cs="Arial"/>
        </w:rPr>
        <w:t>la</w:t>
      </w:r>
      <w:r w:rsidRPr="00D93F7E">
        <w:rPr>
          <w:rFonts w:ascii="Arial" w:hAnsi="Arial" w:cs="Arial"/>
        </w:rPr>
        <w:t xml:space="preserve"> secretaría </w:t>
      </w:r>
      <w:r>
        <w:rPr>
          <w:rFonts w:ascii="Arial" w:hAnsi="Arial" w:cs="Arial"/>
        </w:rPr>
        <w:t xml:space="preserve">o el órgano de gobierno correspondiente </w:t>
      </w:r>
      <w:r w:rsidRPr="00D93F7E">
        <w:rPr>
          <w:rFonts w:ascii="Arial" w:hAnsi="Arial" w:cs="Arial"/>
        </w:rPr>
        <w:t xml:space="preserve">no emita autorización para </w:t>
      </w:r>
      <w:r>
        <w:rPr>
          <w:rFonts w:ascii="Arial" w:hAnsi="Arial" w:cs="Arial"/>
        </w:rPr>
        <w:t>este último ejercicio fiscal.</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En cuanto a los productos que no hayan sido cobrados en el ejercicio inmediato anterior o que no se cobren de manera regular, las dependencias interesadas deberán someter para su aprobación a la Secretaría de Administración y Finanzas el monto de los productos que pretendan cobrar, en un plazo no menor a diez días hábiles anteriores a la fecha de su entrada en vigor.</w:t>
      </w: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Artículo 14. Ingresos obtenidos de multas por infracciones fiscales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Para efectos de lo establecido en el artículo 20, fracción III, de la Ley de la Agencia de Administración Fiscal de Yucatán, los ingresos que el estado obtenga efectivamente de multas por infracciones a las disposiciones fiscales, se destinarán a la formación de fondos para el otorgamiento de estímulos por productividad y cumplimiento del personal de dicho órgano fiscal.</w:t>
      </w:r>
    </w:p>
    <w:p w:rsidR="001B04B6" w:rsidRDefault="001B04B6" w:rsidP="001B04B6">
      <w:pPr>
        <w:jc w:val="center"/>
        <w:rPr>
          <w:rFonts w:ascii="Arial" w:hAnsi="Arial" w:cs="Arial"/>
          <w:b/>
        </w:rPr>
      </w:pPr>
      <w:r w:rsidRPr="00D93F7E">
        <w:rPr>
          <w:rFonts w:ascii="Arial" w:hAnsi="Arial" w:cs="Arial"/>
          <w:b/>
        </w:rPr>
        <w:t>Capítulo II</w:t>
      </w:r>
    </w:p>
    <w:p w:rsidR="001B04B6" w:rsidRPr="00D93F7E" w:rsidRDefault="001B04B6" w:rsidP="001B04B6">
      <w:pPr>
        <w:jc w:val="center"/>
        <w:rPr>
          <w:rFonts w:ascii="Arial" w:hAnsi="Arial" w:cs="Arial"/>
          <w:b/>
        </w:rPr>
      </w:pPr>
      <w:r w:rsidRPr="00D93F7E">
        <w:rPr>
          <w:rFonts w:ascii="Arial" w:hAnsi="Arial" w:cs="Arial"/>
          <w:b/>
        </w:rPr>
        <w:t>Recaudación y concentración de ingresos</w:t>
      </w: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Artículo 15. Disposiciones en materia de recaudación</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 xml:space="preserve">La recaudación de los ingresos a que se refiere esta ley se acreditará mediante el comprobante de pago o el acuse de pago impreso o electrónico que para tal efecto emita la Secretaría de Administración y Finanzas, la Agencia de </w:t>
      </w:r>
      <w:r w:rsidRPr="00D93F7E">
        <w:rPr>
          <w:rFonts w:ascii="Arial" w:hAnsi="Arial" w:cs="Arial"/>
        </w:rPr>
        <w:lastRenderedPageBreak/>
        <w:t>Administración Fiscal de Yucatán o las instituciones, entidades y establecimientos autorizados para tal efecto.</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Para que tenga validez el comprobante de pago o el acuse de pago señalado en el párrafo anterior, deberá contener sello y firma del cajero, otorgados por alguna oficina recaudadora autorizada, o sello digital, en el caso de comprobantes de pago electrónicos.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Cuando el contribuyente realice el pago o entero de las contribuciones u otros ingresos a que se refiere esta ley, mediante línea de referencia, en las oficinas recaudadoras de la Agencia de Administración Fiscal de Yucatán, o en las instituciones, entidades y establecimientos autorizados para tal efecto, recibirá comprobante de pago electrónico con sello digital o comprobante de pago con sello y firma del cajero, según sea el caso.</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Si el pago de los ingresos señalados en esta ley se realiza en instituciones de crédito, entidades o establecimientos autorizados, se podrá acreditar el pago mediante el documento que contenga los elementos de validez que para tal efecto autorice la Agencia de Administración Fiscal de Yucatán.</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Para los efectos de este artículo, se entenderá por línea de referencia, el conjunto de caracteres que permite</w:t>
      </w:r>
      <w:r>
        <w:rPr>
          <w:rFonts w:ascii="Arial" w:hAnsi="Arial" w:cs="Arial"/>
        </w:rPr>
        <w:t>n</w:t>
      </w:r>
      <w:r w:rsidRPr="00D93F7E">
        <w:rPr>
          <w:rFonts w:ascii="Arial" w:hAnsi="Arial" w:cs="Arial"/>
        </w:rPr>
        <w:t xml:space="preserve"> identificar de manera única una transacción y validar la información presentada en las instituciones de crédito, entidades y establecimientos, así como en las oficinas recaudadoras de la Agencia de Administración Fiscal de Yucatán.</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La Agencia de Administración Fiscal de Yucatán podrá expedir las disposiciones que sean necesarias para la correcta y debida aplicación de este artículo.</w:t>
      </w: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Artículo 16. Recaudación de los ingresos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Los ingresos autorizados por esta ley se percibirán, causarán, enterarán, liquidarán y recaudarán de acuerdo con la Ley General de Hacienda del Estado de Yucatán, el Código Fiscal del Estado de Yucatán, la Ley de Coordinación Fiscal federal y local, y las demás disposiciones fiscales federales o estatales aplicables.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La Secretaría de Administración y Finanzas, y la Agencia de Administración Fiscal de Yucatán son los entes competentes para recaudar los ingresos que corresponden al estado, los cuales podrán ser recaudados por sí o a través de terceros debidamente autorizados por la secretaría o la agencia.</w:t>
      </w: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lastRenderedPageBreak/>
        <w:t>Artículo 17. Excepción de recaudación de ingresos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Los ingresos provenientes de las aportaciones de seguridad social destinados al Instituto de Seguridad Social de los Trabajadores del Estado de Yucatán no se concentrarán en la Tesorería General del Estado, y podrán ser recaudados por las oficinas del propio instituto o por las instituciones de crédito que autorice la Secretaría de Administración y Finanzas. Para ello, deberán cumplir con los requisitos contables establecidos y reflejarse en la cuenta pública.</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Los ingresos que el estado obtenga en términos del artículo 71 de la Ley General de Víctimas</w:t>
      </w:r>
      <w:r>
        <w:rPr>
          <w:rFonts w:ascii="Arial" w:hAnsi="Arial" w:cs="Arial"/>
        </w:rPr>
        <w:t xml:space="preserve"> </w:t>
      </w:r>
      <w:r w:rsidRPr="00D93F7E">
        <w:rPr>
          <w:rFonts w:ascii="Arial" w:hAnsi="Arial" w:cs="Arial"/>
        </w:rPr>
        <w:t>serán integrados al patrimonio del Fondo Estatal de Ayuda, Asistencia y Reparación Integral.</w:t>
      </w: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Artículo 18. Registro de ingresos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Las entidades que reciban ingresos por el pago de contraprestaciones de cualquier tipo, derechos y servicios, así como donativos en dinero, deberán emitir el comprobante fiscal digital por internet respectivo de dicho ingreso, conforme a lo establecido en el Código Fiscal de la Federación, registrarlo y presupuestar los egresos correspondientes. Además, se sujetarán a lo establecido por su órgano de gobierno. En caso contrario, no deberán ejercerlos, bajo pena de incurrir en responsabilidad.</w:t>
      </w: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Artículo 19. Convenios de colaboración administrativa</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La Secretaría de Administración y Finanzas estará facultada para que, por conducto de la Agencia de Administración Fiscal de Yucatán, realice los siguientes actos:</w:t>
      </w:r>
    </w:p>
    <w:p w:rsidR="001B04B6" w:rsidRPr="00DA4AE8" w:rsidRDefault="001B04B6" w:rsidP="001B04B6">
      <w:pPr>
        <w:spacing w:before="100" w:beforeAutospacing="1" w:after="100" w:afterAutospacing="1"/>
        <w:ind w:firstLine="709"/>
        <w:jc w:val="both"/>
        <w:rPr>
          <w:rFonts w:ascii="Arial" w:hAnsi="Arial" w:cs="Arial"/>
        </w:rPr>
      </w:pPr>
      <w:r w:rsidRPr="00DA4AE8">
        <w:rPr>
          <w:rFonts w:ascii="Arial" w:hAnsi="Arial" w:cs="Arial"/>
        </w:rPr>
        <w:t>I. Celebre</w:t>
      </w:r>
      <w:r w:rsidRPr="00DA4AE8">
        <w:rPr>
          <w:rFonts w:ascii="Arial" w:hAnsi="Arial"/>
        </w:rPr>
        <w:t xml:space="preserve"> convenios de colaboración administrativa con las entidades de la Administración Pública paraestatal, municipal o federal, respecto a la recaudación de </w:t>
      </w:r>
      <w:r w:rsidRPr="00DA4AE8">
        <w:rPr>
          <w:rFonts w:ascii="Arial" w:hAnsi="Arial" w:cs="Arial"/>
        </w:rPr>
        <w:t>los</w:t>
      </w:r>
      <w:r w:rsidRPr="00DA4AE8">
        <w:rPr>
          <w:rFonts w:ascii="Arial" w:hAnsi="Arial"/>
        </w:rPr>
        <w:t xml:space="preserve"> ingresos</w:t>
      </w:r>
      <w:r w:rsidRPr="00DA4AE8">
        <w:rPr>
          <w:rFonts w:ascii="Arial" w:hAnsi="Arial" w:cs="Arial"/>
        </w:rPr>
        <w:t xml:space="preserve"> que tenga derecho a percibir</w:t>
      </w:r>
      <w:r w:rsidRPr="00DA4AE8">
        <w:rPr>
          <w:rFonts w:ascii="Arial" w:hAnsi="Arial"/>
        </w:rPr>
        <w:t>.</w:t>
      </w:r>
    </w:p>
    <w:p w:rsidR="001B04B6" w:rsidRPr="00DA4AE8" w:rsidRDefault="001B04B6" w:rsidP="001B04B6">
      <w:pPr>
        <w:spacing w:before="100" w:beforeAutospacing="1" w:after="100" w:afterAutospacing="1"/>
        <w:ind w:firstLine="709"/>
        <w:jc w:val="both"/>
        <w:rPr>
          <w:rFonts w:ascii="Arial" w:hAnsi="Arial" w:cs="Arial"/>
        </w:rPr>
      </w:pPr>
      <w:r w:rsidRPr="00DA4AE8">
        <w:rPr>
          <w:rFonts w:ascii="Arial" w:hAnsi="Arial" w:cs="Arial"/>
        </w:rPr>
        <w:t xml:space="preserve">II. Celebre convenios </w:t>
      </w:r>
      <w:r>
        <w:rPr>
          <w:rFonts w:ascii="Arial" w:hAnsi="Arial" w:cs="Arial"/>
        </w:rPr>
        <w:t>o</w:t>
      </w:r>
      <w:r w:rsidRPr="00DA4AE8">
        <w:rPr>
          <w:rFonts w:ascii="Arial" w:hAnsi="Arial" w:cs="Arial"/>
        </w:rPr>
        <w:t xml:space="preserve"> acuerdos de colaboración en materia fiscal con el Gobierno </w:t>
      </w:r>
      <w:r>
        <w:rPr>
          <w:rFonts w:ascii="Arial" w:hAnsi="Arial" w:cs="Arial"/>
        </w:rPr>
        <w:t>f</w:t>
      </w:r>
      <w:r w:rsidRPr="00DA4AE8">
        <w:rPr>
          <w:rFonts w:ascii="Arial" w:hAnsi="Arial" w:cs="Arial"/>
        </w:rPr>
        <w:t xml:space="preserve">ederal, incluidos sus </w:t>
      </w:r>
      <w:r>
        <w:rPr>
          <w:rFonts w:ascii="Arial" w:hAnsi="Arial" w:cs="Arial"/>
        </w:rPr>
        <w:t>o</w:t>
      </w:r>
      <w:r w:rsidRPr="00DA4AE8">
        <w:rPr>
          <w:rFonts w:ascii="Arial" w:hAnsi="Arial" w:cs="Arial"/>
        </w:rPr>
        <w:t xml:space="preserve">rganismos </w:t>
      </w:r>
      <w:r>
        <w:rPr>
          <w:rFonts w:ascii="Arial" w:hAnsi="Arial" w:cs="Arial"/>
        </w:rPr>
        <w:t>p</w:t>
      </w:r>
      <w:r w:rsidRPr="00DA4AE8">
        <w:rPr>
          <w:rFonts w:ascii="Arial" w:hAnsi="Arial" w:cs="Arial"/>
        </w:rPr>
        <w:t xml:space="preserve">úblicos </w:t>
      </w:r>
      <w:r>
        <w:rPr>
          <w:rFonts w:ascii="Arial" w:hAnsi="Arial" w:cs="Arial"/>
        </w:rPr>
        <w:t>d</w:t>
      </w:r>
      <w:r w:rsidRPr="00DA4AE8">
        <w:rPr>
          <w:rFonts w:ascii="Arial" w:hAnsi="Arial" w:cs="Arial"/>
        </w:rPr>
        <w:t xml:space="preserve">escentralizados y </w:t>
      </w:r>
      <w:r>
        <w:rPr>
          <w:rFonts w:ascii="Arial" w:hAnsi="Arial" w:cs="Arial"/>
        </w:rPr>
        <w:t>d</w:t>
      </w:r>
      <w:r w:rsidRPr="00DA4AE8">
        <w:rPr>
          <w:rFonts w:ascii="Arial" w:hAnsi="Arial" w:cs="Arial"/>
        </w:rPr>
        <w:t>esconcentrados, para que se suministren recíprocamente la información que requieran, con el propósito de que cada una de las partes tenga acceso a dicha información y</w:t>
      </w:r>
      <w:r>
        <w:rPr>
          <w:rFonts w:ascii="Arial" w:hAnsi="Arial" w:cs="Arial"/>
        </w:rPr>
        <w:t>,</w:t>
      </w:r>
      <w:r w:rsidRPr="00DA4AE8">
        <w:rPr>
          <w:rFonts w:ascii="Arial" w:hAnsi="Arial" w:cs="Arial"/>
        </w:rPr>
        <w:t xml:space="preserve"> con base en ella, </w:t>
      </w:r>
      <w:r>
        <w:rPr>
          <w:rFonts w:ascii="Arial" w:hAnsi="Arial" w:cs="Arial"/>
        </w:rPr>
        <w:t xml:space="preserve">se </w:t>
      </w:r>
      <w:r w:rsidRPr="00DA4AE8">
        <w:rPr>
          <w:rFonts w:ascii="Arial" w:hAnsi="Arial" w:cs="Arial"/>
        </w:rPr>
        <w:t>instrument</w:t>
      </w:r>
      <w:r>
        <w:rPr>
          <w:rFonts w:ascii="Arial" w:hAnsi="Arial" w:cs="Arial"/>
        </w:rPr>
        <w:t>en</w:t>
      </w:r>
      <w:r w:rsidRPr="00DA4AE8">
        <w:rPr>
          <w:rFonts w:ascii="Arial" w:hAnsi="Arial" w:cs="Arial"/>
        </w:rPr>
        <w:t xml:space="preserve"> programas de verificación y </w:t>
      </w:r>
      <w:r>
        <w:rPr>
          <w:rFonts w:ascii="Arial" w:hAnsi="Arial" w:cs="Arial"/>
        </w:rPr>
        <w:t xml:space="preserve">se </w:t>
      </w:r>
      <w:r w:rsidRPr="00DA4AE8">
        <w:rPr>
          <w:rFonts w:ascii="Arial" w:hAnsi="Arial" w:cs="Arial"/>
        </w:rPr>
        <w:t>ejer</w:t>
      </w:r>
      <w:r>
        <w:rPr>
          <w:rFonts w:ascii="Arial" w:hAnsi="Arial" w:cs="Arial"/>
        </w:rPr>
        <w:t>zan</w:t>
      </w:r>
      <w:r w:rsidRPr="00DA4AE8">
        <w:rPr>
          <w:rFonts w:ascii="Arial" w:hAnsi="Arial" w:cs="Arial"/>
        </w:rPr>
        <w:t xml:space="preserve"> facultades de comprobación del cumplimiento de obligaciones fiscales de los contribuyentes.</w:t>
      </w:r>
    </w:p>
    <w:p w:rsidR="001B04B6" w:rsidRPr="00DA4AE8" w:rsidRDefault="001B04B6" w:rsidP="001B04B6">
      <w:pPr>
        <w:spacing w:before="100" w:beforeAutospacing="1" w:after="100" w:afterAutospacing="1"/>
        <w:ind w:firstLine="709"/>
        <w:jc w:val="both"/>
        <w:rPr>
          <w:rFonts w:ascii="Arial" w:hAnsi="Arial" w:cs="Arial"/>
        </w:rPr>
      </w:pPr>
      <w:r w:rsidRPr="00DA4AE8">
        <w:rPr>
          <w:rFonts w:ascii="Arial" w:hAnsi="Arial" w:cs="Arial"/>
        </w:rPr>
        <w:lastRenderedPageBreak/>
        <w:t xml:space="preserve">III. Celebre con los </w:t>
      </w:r>
      <w:r>
        <w:rPr>
          <w:rFonts w:ascii="Arial" w:hAnsi="Arial" w:cs="Arial"/>
        </w:rPr>
        <w:t>m</w:t>
      </w:r>
      <w:r w:rsidRPr="00DA4AE8">
        <w:rPr>
          <w:rFonts w:ascii="Arial" w:hAnsi="Arial" w:cs="Arial"/>
        </w:rPr>
        <w:t>unicipios</w:t>
      </w:r>
      <w:r>
        <w:rPr>
          <w:rFonts w:ascii="Arial" w:hAnsi="Arial" w:cs="Arial"/>
        </w:rPr>
        <w:t>,</w:t>
      </w:r>
      <w:r w:rsidRPr="00DA4AE8">
        <w:rPr>
          <w:rFonts w:ascii="Arial" w:hAnsi="Arial" w:cs="Arial"/>
        </w:rPr>
        <w:t xml:space="preserve"> a través de sus </w:t>
      </w:r>
      <w:r>
        <w:rPr>
          <w:rFonts w:ascii="Arial" w:hAnsi="Arial" w:cs="Arial"/>
        </w:rPr>
        <w:t>a</w:t>
      </w:r>
      <w:r w:rsidRPr="00DA4AE8">
        <w:rPr>
          <w:rFonts w:ascii="Arial" w:hAnsi="Arial" w:cs="Arial"/>
        </w:rPr>
        <w:t>yuntamientos</w:t>
      </w:r>
      <w:r>
        <w:rPr>
          <w:rFonts w:ascii="Arial" w:hAnsi="Arial" w:cs="Arial"/>
        </w:rPr>
        <w:t>, c</w:t>
      </w:r>
      <w:r w:rsidRPr="00DA4AE8">
        <w:rPr>
          <w:rFonts w:ascii="Arial" w:hAnsi="Arial" w:cs="Arial"/>
        </w:rPr>
        <w:t>onvenios o acuerdo</w:t>
      </w:r>
      <w:r>
        <w:rPr>
          <w:rFonts w:ascii="Arial" w:hAnsi="Arial" w:cs="Arial"/>
        </w:rPr>
        <w:t>s</w:t>
      </w:r>
      <w:r w:rsidRPr="00DA4AE8">
        <w:rPr>
          <w:rFonts w:ascii="Arial" w:hAnsi="Arial" w:cs="Arial"/>
        </w:rPr>
        <w:t xml:space="preserve"> de </w:t>
      </w:r>
      <w:r>
        <w:rPr>
          <w:rFonts w:ascii="Arial" w:hAnsi="Arial" w:cs="Arial"/>
        </w:rPr>
        <w:t>c</w:t>
      </w:r>
      <w:r w:rsidRPr="00DA4AE8">
        <w:rPr>
          <w:rFonts w:ascii="Arial" w:hAnsi="Arial" w:cs="Arial"/>
        </w:rPr>
        <w:t xml:space="preserve">oordinación, </w:t>
      </w:r>
      <w:r>
        <w:rPr>
          <w:rFonts w:ascii="Arial" w:hAnsi="Arial" w:cs="Arial"/>
        </w:rPr>
        <w:t>c</w:t>
      </w:r>
      <w:r w:rsidRPr="00DA4AE8">
        <w:rPr>
          <w:rFonts w:ascii="Arial" w:hAnsi="Arial" w:cs="Arial"/>
        </w:rPr>
        <w:t xml:space="preserve">olaboración administrativa o prestación de servicios para que efectúe la administración o </w:t>
      </w:r>
      <w:r>
        <w:rPr>
          <w:rFonts w:ascii="Arial" w:hAnsi="Arial" w:cs="Arial"/>
        </w:rPr>
        <w:t xml:space="preserve">el </w:t>
      </w:r>
      <w:r w:rsidRPr="00DA4AE8">
        <w:rPr>
          <w:rFonts w:ascii="Arial" w:hAnsi="Arial" w:cs="Arial"/>
        </w:rPr>
        <w:t>cobro de ingresos municipales</w:t>
      </w:r>
      <w:r>
        <w:rPr>
          <w:rFonts w:ascii="Arial" w:hAnsi="Arial" w:cs="Arial"/>
        </w:rPr>
        <w:t>,</w:t>
      </w:r>
      <w:r w:rsidRPr="00DA4AE8">
        <w:rPr>
          <w:rFonts w:ascii="Arial" w:hAnsi="Arial" w:cs="Arial"/>
        </w:rPr>
        <w:t xml:space="preserve"> o se suministren recíprocamente la información que requieran</w:t>
      </w:r>
      <w:r>
        <w:rPr>
          <w:rFonts w:ascii="Arial" w:hAnsi="Arial" w:cs="Arial"/>
        </w:rPr>
        <w:t>,</w:t>
      </w:r>
      <w:r w:rsidRPr="00DA4AE8">
        <w:rPr>
          <w:rFonts w:ascii="Arial" w:hAnsi="Arial" w:cs="Arial"/>
        </w:rPr>
        <w:t xml:space="preserve"> con el propósito de que cada una de las partes tenga acceso a</w:t>
      </w:r>
      <w:r>
        <w:rPr>
          <w:rFonts w:ascii="Arial" w:hAnsi="Arial" w:cs="Arial"/>
        </w:rPr>
        <w:t xml:space="preserve"> dicha información y, con base en ella, s</w:t>
      </w:r>
      <w:r w:rsidRPr="00DA4AE8">
        <w:rPr>
          <w:rFonts w:ascii="Arial" w:hAnsi="Arial" w:cs="Arial"/>
        </w:rPr>
        <w:t>e instrument</w:t>
      </w:r>
      <w:r>
        <w:rPr>
          <w:rFonts w:ascii="Arial" w:hAnsi="Arial" w:cs="Arial"/>
        </w:rPr>
        <w:t>en</w:t>
      </w:r>
      <w:r w:rsidRPr="00DA4AE8">
        <w:rPr>
          <w:rFonts w:ascii="Arial" w:hAnsi="Arial" w:cs="Arial"/>
        </w:rPr>
        <w:t xml:space="preserve"> programas de verificación y </w:t>
      </w:r>
      <w:r>
        <w:rPr>
          <w:rFonts w:ascii="Arial" w:hAnsi="Arial" w:cs="Arial"/>
        </w:rPr>
        <w:t xml:space="preserve">se </w:t>
      </w:r>
      <w:r w:rsidRPr="00DA4AE8">
        <w:rPr>
          <w:rFonts w:ascii="Arial" w:hAnsi="Arial" w:cs="Arial"/>
        </w:rPr>
        <w:t>ejer</w:t>
      </w:r>
      <w:r>
        <w:rPr>
          <w:rFonts w:ascii="Arial" w:hAnsi="Arial" w:cs="Arial"/>
        </w:rPr>
        <w:t>zan</w:t>
      </w:r>
      <w:r w:rsidRPr="00DA4AE8">
        <w:rPr>
          <w:rFonts w:ascii="Arial" w:hAnsi="Arial" w:cs="Arial"/>
        </w:rPr>
        <w:t xml:space="preserve"> facultades de comprobación del cumplimiento de obligaciones fiscales. </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La Agencia de Administración Fiscal de Yucatán podrá establecer</w:t>
      </w:r>
      <w:r>
        <w:rPr>
          <w:rFonts w:ascii="Arial" w:hAnsi="Arial" w:cs="Arial"/>
        </w:rPr>
        <w:t>,</w:t>
      </w:r>
      <w:r w:rsidRPr="00D93F7E">
        <w:rPr>
          <w:rFonts w:ascii="Arial" w:hAnsi="Arial" w:cs="Arial"/>
        </w:rPr>
        <w:t xml:space="preserve"> en coordinación con organismos descentralizados o desconcentrados de la </w:t>
      </w:r>
      <w:r>
        <w:rPr>
          <w:rFonts w:ascii="Arial" w:hAnsi="Arial" w:cs="Arial"/>
        </w:rPr>
        <w:t>A</w:t>
      </w:r>
      <w:r w:rsidRPr="00D93F7E">
        <w:rPr>
          <w:rFonts w:ascii="Arial" w:hAnsi="Arial" w:cs="Arial"/>
        </w:rPr>
        <w:t xml:space="preserve">dministración </w:t>
      </w:r>
      <w:r>
        <w:rPr>
          <w:rFonts w:ascii="Arial" w:hAnsi="Arial" w:cs="Arial"/>
        </w:rPr>
        <w:t>P</w:t>
      </w:r>
      <w:r w:rsidRPr="00D93F7E">
        <w:rPr>
          <w:rFonts w:ascii="Arial" w:hAnsi="Arial" w:cs="Arial"/>
        </w:rPr>
        <w:t>ública federal, estatal o municipal</w:t>
      </w:r>
      <w:r>
        <w:rPr>
          <w:rFonts w:ascii="Arial" w:hAnsi="Arial" w:cs="Arial"/>
        </w:rPr>
        <w:t>,</w:t>
      </w:r>
      <w:r w:rsidRPr="00D93F7E">
        <w:rPr>
          <w:rFonts w:ascii="Arial" w:hAnsi="Arial" w:cs="Arial"/>
        </w:rPr>
        <w:t xml:space="preserve"> los mecanismos de control, seguimiento y trazabilidad del entero de ingresos vinculados con los actos jurídicos de inmuebles registrados en el </w:t>
      </w:r>
      <w:r>
        <w:rPr>
          <w:rFonts w:ascii="Arial" w:hAnsi="Arial" w:cs="Arial"/>
        </w:rPr>
        <w:t>e</w:t>
      </w:r>
      <w:r w:rsidRPr="00D93F7E">
        <w:rPr>
          <w:rFonts w:ascii="Arial" w:hAnsi="Arial" w:cs="Arial"/>
        </w:rPr>
        <w:t>stado relativos a la publicidad registral. Lo establecido en este párrafo será aplicable para ingresos que provengan de contribuciones estatales, así como federales o municipales que se hayan convenido.</w:t>
      </w: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Artículo 20. Contribuciones no determinadas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No podrá cobrarse ninguna contribución que no esté determinada expresamente en las disposiciones legales aplicables.</w:t>
      </w: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Artículo 21. Concentración de ingresos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 xml:space="preserve">Los ingresos de las dependencias de la Administración Pública estatal o sus órganos administrativos desconcentrados por los diversos conceptos que establece esta ley, deben concentrarse en la Tesorería General del Estado, a más tardar el quinto día hábil siguiente al de su recepción y deberán reflejarse, cualquiera que sea su naturaleza, tanto en los registros de la propia Tesorería General del Estado como en la cuenta pública. </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Los ingresos de las entidades de la Administración Pública paraestatal no se concentrarán en la Tesorería General del Estado, excepto cuando se trate de contribuciones o ingresos propios por los que se hubiese convenido el cobro a través de convenios de colaboración administrativa.</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Las entidades paraestatales informarán, dentro de los primeros quince días naturales del mes siguiente al que concluya el trimestre respectivo, a la Secretaría de Administración y Finanzas</w:t>
      </w:r>
      <w:r>
        <w:rPr>
          <w:rFonts w:ascii="Arial" w:hAnsi="Arial" w:cs="Arial"/>
        </w:rPr>
        <w:t>,</w:t>
      </w:r>
      <w:r w:rsidRPr="00D93F7E">
        <w:rPr>
          <w:rFonts w:ascii="Arial" w:hAnsi="Arial" w:cs="Arial"/>
        </w:rPr>
        <w:t xml:space="preserve"> sobre los ingresos que obtengan por cualquier concepto, de acuerdo con el rubro, tipo o clase correspondiente, previsto en este ordenamiento, a efecto de que se puedan elaborar los informes trimestrales que establece la Ley del Presupuesto y Contabilidad </w:t>
      </w:r>
      <w:r w:rsidRPr="00D93F7E">
        <w:rPr>
          <w:rFonts w:ascii="Arial" w:hAnsi="Arial" w:cs="Arial"/>
        </w:rPr>
        <w:lastRenderedPageBreak/>
        <w:t>Gubernamental del Estado de Yucatán y su reglamento y, posteriormente, se reflejen dentro de la cuenta pública.</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 xml:space="preserve">Las entidades paraestatales deberán conservar la documentación comprobatoria de dichos ingresos y ponerla a disposición de los órganos revisores de la cuenta pública. </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 xml:space="preserve">Las contribuciones, productos o aprovechamientos a los que las leyes de carácter no fiscal otorguen una naturaleza distinta a la establecida en las leyes fiscales, tendrán la naturaleza establecida en </w:t>
      </w:r>
      <w:r>
        <w:rPr>
          <w:rFonts w:ascii="Arial" w:hAnsi="Arial" w:cs="Arial"/>
        </w:rPr>
        <w:t>estas últimas.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Lo señalado en los párrafos anteriores se establece sin perjuicio de la obligación de concentrar los recursos públicos al final del ejercicio en la Tesorería General del Estado, en los términos del artículo 92 de la Ley del Presupuesto y Contabilidad Gubernamental del Estado de Yucatán.</w:t>
      </w: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Artículo 22. Concentración de ingresos por desincorporación de entidades paraestatales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Los ingresos netos que se obtengan por la desincorporación de entidades paraestatales s</w:t>
      </w:r>
      <w:r>
        <w:rPr>
          <w:rFonts w:ascii="Arial" w:hAnsi="Arial" w:cs="Arial"/>
        </w:rPr>
        <w:t>erá</w:t>
      </w:r>
      <w:r w:rsidRPr="00D93F7E">
        <w:rPr>
          <w:rFonts w:ascii="Arial" w:hAnsi="Arial" w:cs="Arial"/>
        </w:rPr>
        <w:t>n los recursos remanentes que queden una vez descontadas las erogaciones realizadas</w:t>
      </w:r>
      <w:r>
        <w:rPr>
          <w:rFonts w:ascii="Arial" w:hAnsi="Arial" w:cs="Arial"/>
        </w:rPr>
        <w:t xml:space="preserve"> por concepto de</w:t>
      </w:r>
      <w:r w:rsidRPr="00D93F7E">
        <w:rPr>
          <w:rFonts w:ascii="Arial" w:hAnsi="Arial" w:cs="Arial"/>
        </w:rPr>
        <w:t xml:space="preserve"> comisiones que se paguen a agentes financieros, contribuciones, gastos de administración, de mantenimiento y venta, honorarios de comisionados especiales que no sean servidores públicos encargados de dichos procesos, así como pagos por las reclamaciones procedentes que presenten los adquirentes o terceros, por pasivos ocultos, fiscales o de otra índole, activos inexistentes</w:t>
      </w:r>
      <w:r>
        <w:rPr>
          <w:rFonts w:ascii="Arial" w:hAnsi="Arial" w:cs="Arial"/>
        </w:rPr>
        <w:t xml:space="preserve">, </w:t>
      </w:r>
      <w:r w:rsidRPr="00D93F7E">
        <w:rPr>
          <w:rFonts w:ascii="Arial" w:hAnsi="Arial" w:cs="Arial"/>
        </w:rPr>
        <w:t>asuntos en litigio y demás erogaciones análogas a todas las mencionadas.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Los ingresos netos se enterarán o concentrarán, según corresponda, en la Tesorería General del Estado y deberán manifestarse tanto en los registros de la propia tesorería como en la cuenta pública del estado.</w:t>
      </w:r>
    </w:p>
    <w:p w:rsidR="001B04B6" w:rsidRDefault="001B04B6" w:rsidP="001B04B6">
      <w:pPr>
        <w:spacing w:before="100" w:beforeAutospacing="1" w:after="100" w:afterAutospacing="1"/>
        <w:jc w:val="both"/>
        <w:rPr>
          <w:rFonts w:ascii="Arial" w:hAnsi="Arial" w:cs="Arial"/>
        </w:rPr>
      </w:pPr>
      <w:r w:rsidRPr="00D93F7E">
        <w:rPr>
          <w:rFonts w:ascii="Arial" w:hAnsi="Arial" w:cs="Arial"/>
        </w:rPr>
        <w:t xml:space="preserve">Los pasivos a cargo de organismos públicos descentralizados en proceso de extinción y liquidación que tengan como acreedor al </w:t>
      </w:r>
      <w:r>
        <w:rPr>
          <w:rFonts w:ascii="Arial" w:hAnsi="Arial" w:cs="Arial"/>
        </w:rPr>
        <w:t>G</w:t>
      </w:r>
      <w:r w:rsidRPr="00D93F7E">
        <w:rPr>
          <w:rFonts w:ascii="Arial" w:hAnsi="Arial" w:cs="Arial"/>
        </w:rPr>
        <w:t>obierno estatal, con excepción de aquellos que tengan el carácter de crédito fiscal, podrán determinarse como extintos por la Secretaría de Administración y Finanzas, de pleno derecho, sin necesidad de autorización alguna, y los créditos quedarán cancelados de las cuentas públicas.</w:t>
      </w:r>
    </w:p>
    <w:p w:rsidR="0016359A" w:rsidRPr="00D93F7E" w:rsidRDefault="0016359A" w:rsidP="001B04B6">
      <w:pPr>
        <w:spacing w:before="100" w:beforeAutospacing="1" w:after="100" w:afterAutospacing="1"/>
        <w:jc w:val="both"/>
        <w:rPr>
          <w:rFonts w:ascii="Arial" w:hAnsi="Arial" w:cs="Arial"/>
        </w:rPr>
      </w:pP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lastRenderedPageBreak/>
        <w:t>Artículo 23. Remanentes de fideicomisos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 xml:space="preserve">Los recursos públicos estatales remanentes </w:t>
      </w:r>
      <w:r>
        <w:rPr>
          <w:rFonts w:ascii="Arial" w:hAnsi="Arial" w:cs="Arial"/>
        </w:rPr>
        <w:t>de</w:t>
      </w:r>
      <w:r w:rsidRPr="00D93F7E">
        <w:rPr>
          <w:rFonts w:ascii="Arial" w:hAnsi="Arial" w:cs="Arial"/>
        </w:rPr>
        <w:t xml:space="preserve"> la extinción o terminación de un fideicomiso, mandato o contrato análogo deberán ser concentrados en la Tesorería General del Estado. En su caso, la Secretaría de Administración y Finanzas determinará el destino de estos recursos, salvo aquellos </w:t>
      </w:r>
      <w:r>
        <w:rPr>
          <w:rFonts w:ascii="Arial" w:hAnsi="Arial" w:cs="Arial"/>
        </w:rPr>
        <w:t xml:space="preserve">que </w:t>
      </w:r>
      <w:r w:rsidRPr="00D93F7E">
        <w:rPr>
          <w:rFonts w:ascii="Arial" w:hAnsi="Arial" w:cs="Arial"/>
        </w:rPr>
        <w:t xml:space="preserve">en el instrumento </w:t>
      </w:r>
      <w:r>
        <w:rPr>
          <w:rFonts w:ascii="Arial" w:hAnsi="Arial" w:cs="Arial"/>
        </w:rPr>
        <w:t xml:space="preserve">respectivo, o en la norma de regulación, </w:t>
      </w:r>
      <w:r w:rsidRPr="00D93F7E">
        <w:rPr>
          <w:rFonts w:ascii="Arial" w:hAnsi="Arial" w:cs="Arial"/>
        </w:rPr>
        <w:t xml:space="preserve">se </w:t>
      </w:r>
      <w:r>
        <w:rPr>
          <w:rFonts w:ascii="Arial" w:hAnsi="Arial" w:cs="Arial"/>
        </w:rPr>
        <w:t>establezca un destino diferente.</w:t>
      </w:r>
      <w:r w:rsidRPr="00D93F7E">
        <w:rPr>
          <w:rFonts w:ascii="Arial" w:hAnsi="Arial" w:cs="Arial"/>
        </w:rPr>
        <w:t xml:space="preserve"> </w:t>
      </w:r>
    </w:p>
    <w:p w:rsidR="001B04B6" w:rsidRDefault="001B04B6" w:rsidP="001B04B6">
      <w:pPr>
        <w:jc w:val="center"/>
        <w:rPr>
          <w:rFonts w:ascii="Arial" w:hAnsi="Arial" w:cs="Arial"/>
          <w:b/>
        </w:rPr>
      </w:pPr>
      <w:r w:rsidRPr="00D93F7E">
        <w:rPr>
          <w:rFonts w:ascii="Arial" w:hAnsi="Arial" w:cs="Arial"/>
          <w:b/>
        </w:rPr>
        <w:t>Capítulo III</w:t>
      </w:r>
    </w:p>
    <w:p w:rsidR="001B04B6" w:rsidRPr="00D93F7E" w:rsidRDefault="001B04B6" w:rsidP="001B04B6">
      <w:pPr>
        <w:jc w:val="center"/>
        <w:rPr>
          <w:rFonts w:ascii="Arial" w:hAnsi="Arial" w:cs="Arial"/>
          <w:b/>
        </w:rPr>
      </w:pPr>
      <w:r w:rsidRPr="00D93F7E">
        <w:rPr>
          <w:rFonts w:ascii="Arial" w:hAnsi="Arial" w:cs="Arial"/>
          <w:b/>
        </w:rPr>
        <w:t>Sujetos públicos obligados</w:t>
      </w: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Artículo 24. Sujetos públicos obligados a pagar contribuciones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El estado, los municipios, los organismos descentralizados estatales y municipales, las empresas de participación estatal mayoritaria, las empresas de participación municipal mayoritaria, los fideicomisos públicos o privados de los que el Gobierno del estado o los municipios sean parte, así como las personas de derecho público con autonomía derivada de su norma de creación, de la Constitución Política de los Estados Unidos Mexicanos o de la Constitución Política del Estado de Yucatán, quedan obligados a pagar contribuciones, salvo que las leyes fiscales federales o estatales los eximan expresamente.</w:t>
      </w:r>
    </w:p>
    <w:p w:rsidR="001B04B6" w:rsidRDefault="001B04B6" w:rsidP="001B04B6">
      <w:pPr>
        <w:jc w:val="center"/>
        <w:rPr>
          <w:rFonts w:ascii="Arial" w:hAnsi="Arial" w:cs="Arial"/>
          <w:b/>
        </w:rPr>
      </w:pPr>
      <w:r w:rsidRPr="00D93F7E">
        <w:rPr>
          <w:rFonts w:ascii="Arial" w:hAnsi="Arial" w:cs="Arial"/>
          <w:b/>
        </w:rPr>
        <w:t>Capítulo IV</w:t>
      </w:r>
    </w:p>
    <w:p w:rsidR="001B04B6" w:rsidRDefault="001B04B6" w:rsidP="001B04B6">
      <w:pPr>
        <w:jc w:val="center"/>
        <w:rPr>
          <w:rFonts w:ascii="Arial" w:hAnsi="Arial" w:cs="Arial"/>
          <w:b/>
        </w:rPr>
      </w:pPr>
      <w:r w:rsidRPr="00D93F7E">
        <w:rPr>
          <w:rFonts w:ascii="Arial" w:hAnsi="Arial" w:cs="Arial"/>
          <w:b/>
        </w:rPr>
        <w:t>Facilidades a los contribuyentes</w:t>
      </w: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Artículo 25. Inscripción al Registro Federal de Contribuyentes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Para ejercer las funciones administrativas de inscripción al Registro Federal de Contribuyentes que establece el Convenio de Colaboración Administrativa en Materia Fiscal Federal, las autoridades fiscales podrán utilizar los datos proporcionados por los contribuyentes a dicho registro.</w:t>
      </w: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Artículo 26. Medios de pago</w:t>
      </w:r>
    </w:p>
    <w:p w:rsidR="001B04B6" w:rsidRDefault="001B04B6" w:rsidP="001B04B6">
      <w:pPr>
        <w:spacing w:before="100" w:beforeAutospacing="1" w:after="100" w:afterAutospacing="1"/>
        <w:jc w:val="both"/>
        <w:rPr>
          <w:rFonts w:ascii="Arial" w:hAnsi="Arial" w:cs="Arial"/>
        </w:rPr>
      </w:pPr>
      <w:r w:rsidRPr="00D93F7E">
        <w:rPr>
          <w:rFonts w:ascii="Arial" w:hAnsi="Arial" w:cs="Arial"/>
        </w:rPr>
        <w:t>Para los efectos del artículo 29, párrafos primero y segundo, del Código Fiscal del Estado de Yucatán, las tarjetas de crédito o débito emitidas por las instituciones de crédito autorizadas se aceptarán como medio de pago de contribuciones, aprovechamientos y sus accesorios</w:t>
      </w:r>
      <w:r>
        <w:rPr>
          <w:rFonts w:ascii="Arial" w:hAnsi="Arial" w:cs="Arial"/>
        </w:rPr>
        <w:t>, así como de aquellos ingresos convenidos con otros entes de gobierno</w:t>
      </w:r>
      <w:r w:rsidRPr="00D93F7E">
        <w:rPr>
          <w:rFonts w:ascii="Arial" w:hAnsi="Arial" w:cs="Arial"/>
        </w:rPr>
        <w:t>.</w:t>
      </w:r>
    </w:p>
    <w:p w:rsidR="001B04B6" w:rsidRPr="00D93F7E" w:rsidRDefault="001B04B6" w:rsidP="001B04B6">
      <w:pPr>
        <w:spacing w:before="100" w:beforeAutospacing="1" w:after="100" w:afterAutospacing="1"/>
        <w:jc w:val="both"/>
        <w:rPr>
          <w:rFonts w:ascii="Arial" w:hAnsi="Arial" w:cs="Arial"/>
        </w:rPr>
      </w:pP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Artículo 27. Tasa de recargos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Para efectos de lo señalado en el artículo 30 del Código Fiscal del Estado de Yucatán, se entenderá como tasa de recargos la que fije anualmente el Congreso de la Unión en la Ley de Ingresos de la Federación, y deberá considerarse también la mecánica que de la misma forma el Congreso de la Unión establezca para la variación de dicha tasa de recargos para cada uno de los meses.</w:t>
      </w: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Artículo 28. Tasa de recargos por prórroga</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En los casos de prórroga para el pago de créditos fiscales se causarán los siguientes recargos:</w:t>
      </w:r>
    </w:p>
    <w:p w:rsidR="001B04B6" w:rsidRPr="00D93F7E" w:rsidRDefault="001B04B6" w:rsidP="001B04B6">
      <w:pPr>
        <w:spacing w:before="100" w:beforeAutospacing="1" w:after="100" w:afterAutospacing="1"/>
        <w:ind w:firstLine="708"/>
        <w:jc w:val="both"/>
        <w:rPr>
          <w:rFonts w:ascii="Arial" w:hAnsi="Arial" w:cs="Arial"/>
        </w:rPr>
      </w:pPr>
      <w:r w:rsidRPr="00D93F7E">
        <w:rPr>
          <w:rFonts w:ascii="Arial" w:hAnsi="Arial" w:cs="Arial"/>
        </w:rPr>
        <w:t>I. Al 0.98% mensual sobre los saldos insolutos.</w:t>
      </w:r>
    </w:p>
    <w:p w:rsidR="001B04B6" w:rsidRPr="00D93F7E" w:rsidRDefault="001B04B6" w:rsidP="001B04B6">
      <w:pPr>
        <w:spacing w:before="100" w:beforeAutospacing="1" w:after="100" w:afterAutospacing="1"/>
        <w:ind w:firstLine="708"/>
        <w:jc w:val="both"/>
        <w:rPr>
          <w:rFonts w:ascii="Arial" w:hAnsi="Arial" w:cs="Arial"/>
        </w:rPr>
      </w:pPr>
      <w:r w:rsidRPr="00D93F7E">
        <w:rPr>
          <w:rFonts w:ascii="Arial" w:hAnsi="Arial" w:cs="Arial"/>
        </w:rPr>
        <w:t>II. Cuando de conformidad con el Código Fiscal del Estado de Yucatán se autorice el pago a plazos, se aplicará la tasa de recargos que a continuación se establece, sobre los saldos y durante el periodo de que se trate:</w:t>
      </w:r>
    </w:p>
    <w:p w:rsidR="001B04B6" w:rsidRPr="00D93F7E" w:rsidRDefault="001B04B6" w:rsidP="001B04B6">
      <w:pPr>
        <w:spacing w:before="100" w:beforeAutospacing="1" w:after="100" w:afterAutospacing="1"/>
        <w:ind w:left="708" w:firstLine="708"/>
        <w:jc w:val="both"/>
        <w:rPr>
          <w:rFonts w:ascii="Arial" w:hAnsi="Arial" w:cs="Arial"/>
        </w:rPr>
      </w:pPr>
      <w:r w:rsidRPr="00D93F7E">
        <w:rPr>
          <w:rFonts w:ascii="Arial" w:hAnsi="Arial" w:cs="Arial"/>
        </w:rPr>
        <w:t>a) Tratándose de pagos a plazos en parcialidades hasta doce meses, la tasa de recargos será del 1.26% mensual.</w:t>
      </w:r>
    </w:p>
    <w:p w:rsidR="001B04B6" w:rsidRPr="00D93F7E" w:rsidRDefault="001B04B6" w:rsidP="001B04B6">
      <w:pPr>
        <w:spacing w:before="100" w:beforeAutospacing="1" w:after="100" w:afterAutospacing="1"/>
        <w:ind w:left="708" w:firstLine="708"/>
        <w:jc w:val="both"/>
        <w:rPr>
          <w:rFonts w:ascii="Arial" w:hAnsi="Arial" w:cs="Arial"/>
        </w:rPr>
      </w:pPr>
      <w:r w:rsidRPr="00D93F7E">
        <w:rPr>
          <w:rFonts w:ascii="Arial" w:hAnsi="Arial" w:cs="Arial"/>
        </w:rPr>
        <w:t>b) Tratándose de pagos a plazos en parcialidades de más de doce meses y hasta de veinticuatro meses, la tasa de recargos será de 1.53% mensual.</w:t>
      </w:r>
    </w:p>
    <w:p w:rsidR="001B04B6" w:rsidRPr="00D93F7E" w:rsidRDefault="001B04B6" w:rsidP="001B04B6">
      <w:pPr>
        <w:spacing w:before="100" w:beforeAutospacing="1" w:after="100" w:afterAutospacing="1"/>
        <w:ind w:left="708" w:firstLine="708"/>
        <w:jc w:val="both"/>
        <w:rPr>
          <w:rFonts w:ascii="Arial" w:hAnsi="Arial" w:cs="Arial"/>
        </w:rPr>
      </w:pPr>
      <w:r w:rsidRPr="00D93F7E">
        <w:rPr>
          <w:rFonts w:ascii="Arial" w:hAnsi="Arial" w:cs="Arial"/>
        </w:rPr>
        <w:t>c) Tratándose de pagos a plazos en parcialidades superiores a veinticuatro meses o de pagos a plazo diferido, la tasa de recargos será de 1.82% mensual.</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Las tasas de recargos establecidas en la fracción II de este artículo incluyen la actualización realizada conforme a lo establecido por el propio Código Fiscal del Estado de Yucatán.</w:t>
      </w: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Artículo 29. Programas de apoyo</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 xml:space="preserve">El titular del Poder Ejecutivo podrá establecer programas de apoyo o incentivos, según sea el caso, para los contribuyentes o los sujetos obligados de esta ley, </w:t>
      </w:r>
      <w:r w:rsidRPr="00D93F7E">
        <w:rPr>
          <w:rFonts w:ascii="Arial" w:hAnsi="Arial" w:cs="Arial"/>
        </w:rPr>
        <w:lastRenderedPageBreak/>
        <w:t xml:space="preserve">los cuales deberán publicarse en el Diario Oficial del Gobierno del Estado de Yucatán. </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 xml:space="preserve">En dichos programas de apoyo o incentivos podrá establecerse, entre otras acciones, la condonación total o parcial de contribuciones, derechos, aprovechamientos </w:t>
      </w:r>
      <w:r>
        <w:rPr>
          <w:rFonts w:ascii="Arial" w:hAnsi="Arial" w:cs="Arial"/>
        </w:rPr>
        <w:t>o</w:t>
      </w:r>
      <w:r w:rsidRPr="00D93F7E">
        <w:rPr>
          <w:rFonts w:ascii="Arial" w:hAnsi="Arial" w:cs="Arial"/>
        </w:rPr>
        <w:t xml:space="preserve"> productos, así como de sus accesorios.</w:t>
      </w: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Artículo 30. Pago en parcialidades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Para los efectos de los artículos 89 y 90 del Código Fiscal del Estado de Yucatán, durante el ejercicio fiscal 2022, se podrá autorizar el pago a plazos, ya sea diferido o en parcialidades, de los derechos y de sus accesorios que debieron pagarse en el año en curso o los que se debieron pagar en los seis meses anteriores al mes en el que se solicite la autorización de pago a plazos.</w:t>
      </w: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Artículo 31. Imposibilidad práctica de cobro</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Se faculta a las autoridades fiscales para que lleven a cabo la cancelación de los créditos fiscales cuyo cobro les corresponda efectuar</w:t>
      </w:r>
      <w:r>
        <w:rPr>
          <w:rFonts w:ascii="Arial" w:hAnsi="Arial" w:cs="Arial"/>
        </w:rPr>
        <w:t xml:space="preserve"> </w:t>
      </w:r>
      <w:r w:rsidRPr="00D93F7E">
        <w:rPr>
          <w:rFonts w:ascii="Arial" w:hAnsi="Arial" w:cs="Arial"/>
        </w:rPr>
        <w:t xml:space="preserve">en los casos en que exista imposibilidad práctica de cobro. </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Se considera que existe imposibilidad práctica de cobro, entre otras circunstancias, cuando los deudores no tengan bienes embargables, el deudor hubie</w:t>
      </w:r>
      <w:r>
        <w:rPr>
          <w:rFonts w:ascii="Arial" w:hAnsi="Arial" w:cs="Arial"/>
        </w:rPr>
        <w:t>se</w:t>
      </w:r>
      <w:r w:rsidRPr="00D93F7E">
        <w:rPr>
          <w:rFonts w:ascii="Arial" w:hAnsi="Arial" w:cs="Arial"/>
        </w:rPr>
        <w:t xml:space="preserve"> fallecido sin dejar bienes a su nombre o cuando por sentencia firme hubie</w:t>
      </w:r>
      <w:r>
        <w:rPr>
          <w:rFonts w:ascii="Arial" w:hAnsi="Arial" w:cs="Arial"/>
        </w:rPr>
        <w:t>se</w:t>
      </w:r>
      <w:r w:rsidRPr="00D93F7E">
        <w:rPr>
          <w:rFonts w:ascii="Arial" w:hAnsi="Arial" w:cs="Arial"/>
        </w:rPr>
        <w:t xml:space="preserve"> sido declarado en quiebra por falta de activos.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 xml:space="preserve">Las autoridades, </w:t>
      </w:r>
      <w:r>
        <w:rPr>
          <w:rFonts w:ascii="Arial" w:hAnsi="Arial" w:cs="Arial"/>
        </w:rPr>
        <w:t>de forma previa</w:t>
      </w:r>
      <w:r w:rsidRPr="00D93F7E">
        <w:rPr>
          <w:rFonts w:ascii="Arial" w:hAnsi="Arial" w:cs="Arial"/>
        </w:rPr>
        <w:t xml:space="preserve"> a la cancelación de un crédito fiscal, deberán integrar un expediente que contenga los documentos y constancias que acrediten la imposibilidad práctica de cobro.</w:t>
      </w:r>
    </w:p>
    <w:p w:rsidR="001B04B6" w:rsidRPr="00D93F7E" w:rsidRDefault="001B04B6" w:rsidP="001B04B6">
      <w:pPr>
        <w:spacing w:before="100" w:beforeAutospacing="1" w:after="100" w:afterAutospacing="1"/>
        <w:jc w:val="both"/>
        <w:rPr>
          <w:rFonts w:ascii="Arial" w:hAnsi="Arial" w:cs="Arial"/>
          <w:b/>
        </w:rPr>
      </w:pPr>
      <w:r w:rsidRPr="00D93F7E">
        <w:rPr>
          <w:rFonts w:ascii="Arial" w:hAnsi="Arial" w:cs="Arial"/>
          <w:b/>
        </w:rPr>
        <w:t>Artículo 32. Créditos fiscales incosteables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Se faculta a las autoridades fiscales para que lleven a cabo la cancelación de los créditos fiscales cuyo cobro les corresponda efectuar en los casos en que aquellos sean incosteables.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Para que un crédito se considere incosteable, la autoridad fiscal evaluará los siguientes conceptos: monto del crédito, costo de las acciones de recuperación, antigüedad del crédito y probabilidad de cobro.</w:t>
      </w:r>
    </w:p>
    <w:p w:rsidR="001B04B6" w:rsidRDefault="001B04B6" w:rsidP="001B04B6">
      <w:pPr>
        <w:spacing w:before="100" w:beforeAutospacing="1" w:after="100" w:afterAutospacing="1"/>
        <w:jc w:val="both"/>
        <w:rPr>
          <w:rFonts w:ascii="Arial" w:hAnsi="Arial" w:cs="Arial"/>
        </w:rPr>
      </w:pPr>
      <w:r w:rsidRPr="006048F5">
        <w:rPr>
          <w:rFonts w:ascii="Arial" w:hAnsi="Arial" w:cs="Arial"/>
        </w:rPr>
        <w:t>La cancelación de los créditos a que se refiere este artículo no libera de su pago</w:t>
      </w:r>
      <w:r w:rsidRPr="00DA4AE8">
        <w:rPr>
          <w:rFonts w:ascii="Arial" w:hAnsi="Arial" w:cs="Arial"/>
        </w:rPr>
        <w:t>.</w:t>
      </w:r>
    </w:p>
    <w:p w:rsidR="001B04B6" w:rsidRPr="00D93F7E" w:rsidRDefault="000B0F29" w:rsidP="001B04B6">
      <w:pPr>
        <w:spacing w:before="100" w:beforeAutospacing="1" w:after="100" w:afterAutospacing="1"/>
        <w:jc w:val="center"/>
        <w:rPr>
          <w:rFonts w:ascii="Arial" w:hAnsi="Arial" w:cs="Arial"/>
          <w:b/>
        </w:rPr>
      </w:pPr>
      <w:r>
        <w:rPr>
          <w:rFonts w:ascii="Arial" w:hAnsi="Arial" w:cs="Arial"/>
          <w:b/>
        </w:rPr>
        <w:lastRenderedPageBreak/>
        <w:t>T</w:t>
      </w:r>
      <w:r w:rsidR="001B04B6" w:rsidRPr="00D93F7E">
        <w:rPr>
          <w:rFonts w:ascii="Arial" w:hAnsi="Arial" w:cs="Arial"/>
          <w:b/>
        </w:rPr>
        <w:t>ransitorios</w:t>
      </w:r>
    </w:p>
    <w:p w:rsidR="001B04B6" w:rsidRPr="00D93F7E" w:rsidRDefault="000B0F29" w:rsidP="001B04B6">
      <w:pPr>
        <w:spacing w:before="100" w:beforeAutospacing="1" w:after="100" w:afterAutospacing="1"/>
        <w:jc w:val="both"/>
        <w:rPr>
          <w:rFonts w:ascii="Arial" w:hAnsi="Arial" w:cs="Arial"/>
          <w:b/>
        </w:rPr>
      </w:pPr>
      <w:r>
        <w:rPr>
          <w:rFonts w:ascii="Arial" w:hAnsi="Arial" w:cs="Arial"/>
          <w:b/>
        </w:rPr>
        <w:t xml:space="preserve">Artículo </w:t>
      </w:r>
      <w:r w:rsidR="001B04B6" w:rsidRPr="00D93F7E">
        <w:rPr>
          <w:rFonts w:ascii="Arial" w:hAnsi="Arial" w:cs="Arial"/>
          <w:b/>
        </w:rPr>
        <w:t>Primero. Entrada en vigor</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Este decreto entrará en vigor el 1 de enero de 2022, previa publicación en el Diario Oficial del Gobierno del Estado de Yucatán y tendrá vigencia hasta el 31 de diciembre del mismo año.</w:t>
      </w:r>
    </w:p>
    <w:p w:rsidR="001B04B6" w:rsidRPr="00D93F7E" w:rsidRDefault="000B0F29" w:rsidP="001B04B6">
      <w:pPr>
        <w:spacing w:before="100" w:beforeAutospacing="1" w:after="100" w:afterAutospacing="1"/>
        <w:jc w:val="both"/>
        <w:rPr>
          <w:rFonts w:ascii="Arial" w:hAnsi="Arial" w:cs="Arial"/>
          <w:b/>
        </w:rPr>
      </w:pPr>
      <w:r>
        <w:rPr>
          <w:rFonts w:ascii="Arial" w:hAnsi="Arial" w:cs="Arial"/>
          <w:b/>
        </w:rPr>
        <w:t xml:space="preserve">Artículo </w:t>
      </w:r>
      <w:r w:rsidR="001B04B6" w:rsidRPr="00D93F7E">
        <w:rPr>
          <w:rFonts w:ascii="Arial" w:hAnsi="Arial" w:cs="Arial"/>
          <w:b/>
        </w:rPr>
        <w:t xml:space="preserve">Segundo. Derogación </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 xml:space="preserve">Se derogan las disposiciones que contengan exenciones, totales o parciales, consideren a personas como no sujetos de contribuciones estatales, </w:t>
      </w:r>
      <w:r>
        <w:rPr>
          <w:rFonts w:ascii="Arial" w:hAnsi="Arial" w:cs="Arial"/>
        </w:rPr>
        <w:t xml:space="preserve">u </w:t>
      </w:r>
      <w:r w:rsidRPr="00D93F7E">
        <w:rPr>
          <w:rFonts w:ascii="Arial" w:hAnsi="Arial" w:cs="Arial"/>
        </w:rPr>
        <w:t>otorguen tratamientos preferenciales o diferenciales en materia de ingresos y contribuciones estatales, distintos de los establecidos en la Ley de Ingresos del Estado de Yucatán para el Ejercicio Fiscal 2022, en el Código Fiscal del Estado de Yucatán, en los decretos expedidos por el Poder Ejecutivo del estado y en las leyes que establecen dichas contribuciones, así como sus reglamentos.</w:t>
      </w:r>
    </w:p>
    <w:p w:rsidR="001B04B6" w:rsidRPr="00D93F7E" w:rsidRDefault="000B0F29" w:rsidP="001B04B6">
      <w:pPr>
        <w:spacing w:before="100" w:beforeAutospacing="1" w:after="100" w:afterAutospacing="1"/>
        <w:jc w:val="both"/>
        <w:rPr>
          <w:rFonts w:ascii="Arial" w:hAnsi="Arial" w:cs="Arial"/>
          <w:b/>
        </w:rPr>
      </w:pPr>
      <w:r>
        <w:rPr>
          <w:rFonts w:ascii="Arial" w:hAnsi="Arial" w:cs="Arial"/>
          <w:b/>
        </w:rPr>
        <w:t xml:space="preserve">Artículo </w:t>
      </w:r>
      <w:r w:rsidR="001B04B6" w:rsidRPr="00D93F7E">
        <w:rPr>
          <w:rFonts w:ascii="Arial" w:hAnsi="Arial" w:cs="Arial"/>
          <w:b/>
        </w:rPr>
        <w:t>Tercero. Obligación de los entes públicos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Los entes públicos que reciban ingresos de los previstos en la Ley de Ingresos del Estado de Yucatán para el Ejercicio Fiscal 2022 deberán elaborar y difundir en sus respectivos sitios web documentos dirigidos a la ciudadanía en los que expliquen, de manera sencilla y en los formatos aprobados por el Consejo Nacional de Armonización Contable, el contenido de la Ley de Ingresos del Estado de Yucatán para el Ejercicio Fiscal 2022.</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Asimismo, los entes públicos deberán difundir, en los términos establecidos en la Ley de Disciplina Financiera de las Entidades Federativas y los Municipios, la información y formatos correspondientes.</w:t>
      </w:r>
    </w:p>
    <w:p w:rsidR="001B04B6" w:rsidRPr="00D93F7E" w:rsidRDefault="000B0F29" w:rsidP="001B04B6">
      <w:pPr>
        <w:spacing w:before="100" w:beforeAutospacing="1" w:after="100" w:afterAutospacing="1"/>
        <w:jc w:val="both"/>
        <w:rPr>
          <w:rFonts w:ascii="Arial" w:hAnsi="Arial" w:cs="Arial"/>
          <w:b/>
        </w:rPr>
      </w:pPr>
      <w:r>
        <w:rPr>
          <w:rFonts w:ascii="Arial" w:hAnsi="Arial" w:cs="Arial"/>
          <w:b/>
        </w:rPr>
        <w:t xml:space="preserve">Artículo </w:t>
      </w:r>
      <w:r w:rsidR="001B04B6" w:rsidRPr="00D93F7E">
        <w:rPr>
          <w:rFonts w:ascii="Arial" w:hAnsi="Arial" w:cs="Arial"/>
          <w:b/>
        </w:rPr>
        <w:t>Cuarto. Modificaciones a la estructura administrativa</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Para los efectos de la Ley de Ingresos del Estado para el Ejercicio Fiscal 2022, cuando, de conformidad con el Código de la Administración Pública de Yucatán, su reglamento o los decretos de creación correspondientes, se modifique la denominación de alguna dependencia o entidad, o las existentes desaparezcan, se entenderá que los ingresos estimados para estas en la presente ley corresponderán a las dependencias o entidades cuyas denominaciones hayan cambiado o que absorban las facultades de aquellas que desaparezcan, según corresponda.</w:t>
      </w:r>
    </w:p>
    <w:p w:rsidR="001B04B6" w:rsidRPr="00D93F7E" w:rsidRDefault="000B0F29" w:rsidP="001B04B6">
      <w:pPr>
        <w:spacing w:before="100" w:beforeAutospacing="1" w:after="100" w:afterAutospacing="1"/>
        <w:jc w:val="both"/>
        <w:rPr>
          <w:rFonts w:ascii="Arial" w:hAnsi="Arial" w:cs="Arial"/>
          <w:b/>
        </w:rPr>
      </w:pPr>
      <w:r>
        <w:rPr>
          <w:rFonts w:ascii="Arial" w:hAnsi="Arial" w:cs="Arial"/>
          <w:b/>
        </w:rPr>
        <w:lastRenderedPageBreak/>
        <w:t xml:space="preserve">Artículo </w:t>
      </w:r>
      <w:r w:rsidR="001B04B6" w:rsidRPr="00D93F7E">
        <w:rPr>
          <w:rFonts w:ascii="Arial" w:hAnsi="Arial" w:cs="Arial"/>
          <w:b/>
        </w:rPr>
        <w:t>Quinto. Fideicomisos</w:t>
      </w:r>
    </w:p>
    <w:p w:rsidR="001B04B6" w:rsidRPr="00D93F7E" w:rsidRDefault="001B04B6" w:rsidP="001B04B6">
      <w:pPr>
        <w:spacing w:before="100" w:beforeAutospacing="1" w:after="100" w:afterAutospacing="1"/>
        <w:jc w:val="both"/>
        <w:rPr>
          <w:rFonts w:ascii="Arial" w:hAnsi="Arial" w:cs="Arial"/>
        </w:rPr>
      </w:pPr>
      <w:r w:rsidRPr="00D93F7E">
        <w:rPr>
          <w:rFonts w:ascii="Arial" w:hAnsi="Arial" w:cs="Arial"/>
        </w:rPr>
        <w:t>Las dependencias y entidades de la Administración Pública estatal deberán remitir a la Secretaría de Administración y Finanzas, durante el primer trimestre de</w:t>
      </w:r>
      <w:r>
        <w:rPr>
          <w:rFonts w:ascii="Arial" w:hAnsi="Arial" w:cs="Arial"/>
        </w:rPr>
        <w:t>l</w:t>
      </w:r>
      <w:r w:rsidRPr="00D93F7E">
        <w:rPr>
          <w:rFonts w:ascii="Arial" w:hAnsi="Arial" w:cs="Arial"/>
        </w:rPr>
        <w:t xml:space="preserve"> ejercicio fiscal</w:t>
      </w:r>
      <w:r>
        <w:rPr>
          <w:rFonts w:ascii="Arial" w:hAnsi="Arial" w:cs="Arial"/>
        </w:rPr>
        <w:t xml:space="preserve"> 2022</w:t>
      </w:r>
      <w:r w:rsidRPr="00D93F7E">
        <w:rPr>
          <w:rFonts w:ascii="Arial" w:hAnsi="Arial" w:cs="Arial"/>
        </w:rPr>
        <w:t>, un informe de los fideicomisos, mandatos o análogos públicos susceptibles de extinguirse en términos de las disposiciones aplicables. Lo anterior, a efecto de que se lleven a cabo los actos necesarios para la extinción de dichas figuras, conforme a lo establecido en la Ley del Presupuesto y Contabilidad Gubernamental del Estado de Yucatán y su reglamento.</w:t>
      </w:r>
    </w:p>
    <w:p w:rsidR="00E37EAF" w:rsidRPr="00E37EAF" w:rsidRDefault="00E37EAF" w:rsidP="00E37EAF">
      <w:pPr>
        <w:tabs>
          <w:tab w:val="right" w:pos="8498"/>
        </w:tabs>
        <w:jc w:val="both"/>
        <w:rPr>
          <w:rFonts w:ascii="Arial" w:hAnsi="Arial" w:cs="Arial"/>
          <w:b/>
        </w:rPr>
      </w:pPr>
      <w:r w:rsidRPr="00E37EAF">
        <w:rPr>
          <w:rFonts w:ascii="Arial" w:hAnsi="Arial" w:cs="Arial"/>
          <w:b/>
        </w:rPr>
        <w:t xml:space="preserve">DADO EN LA SEDE DEL RECINTO DEL PODER LEGISLATIVO EN LA CIUDAD DE MÉRIDA, YUCATÁN, ESTADOS UNIDOS MEXICANOS A LOS OCHO DÍAS DEL MES DE DICIEMBRE DEL AÑO DOS MIL VEINTIUNO.- PRESIDENTA DIPUTADA INGRID DEL PILAR SANTOS DÍAZ.- SECRETARIO DIPUTADO RAÚL ANTONIO ROMERO CHEL.- SECRETARIO DIPUTADO RAFAEL ALEJANDRO ECHAZARRETA TORRES.- RÚBRICAS.” </w:t>
      </w:r>
    </w:p>
    <w:p w:rsidR="00E37EAF" w:rsidRPr="00E37EAF" w:rsidRDefault="00E37EAF" w:rsidP="00E37EAF">
      <w:pPr>
        <w:tabs>
          <w:tab w:val="right" w:pos="8498"/>
        </w:tabs>
        <w:jc w:val="both"/>
        <w:rPr>
          <w:rFonts w:ascii="Arial" w:hAnsi="Arial" w:cs="Arial"/>
        </w:rPr>
      </w:pPr>
    </w:p>
    <w:p w:rsidR="00E37EAF" w:rsidRPr="00E37EAF" w:rsidRDefault="00E37EAF" w:rsidP="00E37EAF">
      <w:pPr>
        <w:tabs>
          <w:tab w:val="right" w:pos="8498"/>
        </w:tabs>
        <w:jc w:val="both"/>
        <w:rPr>
          <w:rFonts w:ascii="Arial" w:hAnsi="Arial" w:cs="Arial"/>
        </w:rPr>
      </w:pPr>
      <w:r w:rsidRPr="00E37EAF">
        <w:rPr>
          <w:rFonts w:ascii="Arial" w:hAnsi="Arial" w:cs="Arial"/>
        </w:rPr>
        <w:t xml:space="preserve">Y, por tanto, mando se imprima, publique y circule para su conocimiento y debido cumplimiento. </w:t>
      </w:r>
    </w:p>
    <w:p w:rsidR="00E37EAF" w:rsidRPr="00E37EAF" w:rsidRDefault="00E37EAF" w:rsidP="00E37EAF">
      <w:pPr>
        <w:tabs>
          <w:tab w:val="right" w:pos="8498"/>
        </w:tabs>
        <w:jc w:val="both"/>
        <w:rPr>
          <w:rFonts w:ascii="Arial" w:hAnsi="Arial" w:cs="Arial"/>
        </w:rPr>
      </w:pPr>
    </w:p>
    <w:p w:rsidR="00E37EAF" w:rsidRPr="00E37EAF" w:rsidRDefault="00E37EAF" w:rsidP="00E37EAF">
      <w:pPr>
        <w:tabs>
          <w:tab w:val="right" w:pos="8498"/>
        </w:tabs>
        <w:jc w:val="both"/>
        <w:rPr>
          <w:rFonts w:ascii="Arial" w:hAnsi="Arial" w:cs="Arial"/>
        </w:rPr>
      </w:pPr>
      <w:r w:rsidRPr="00E37EAF">
        <w:rPr>
          <w:rFonts w:ascii="Arial" w:hAnsi="Arial" w:cs="Arial"/>
        </w:rPr>
        <w:t xml:space="preserve">Se expide este decreto en la sede del Poder Ejecutivo, en Mérida, Yucatán, a 17 de diciembre de 2021. </w:t>
      </w:r>
    </w:p>
    <w:p w:rsidR="00E37EAF" w:rsidRPr="00E37EAF" w:rsidRDefault="00E37EAF" w:rsidP="00E37EAF">
      <w:pPr>
        <w:tabs>
          <w:tab w:val="right" w:pos="8498"/>
        </w:tabs>
        <w:jc w:val="both"/>
        <w:rPr>
          <w:rFonts w:ascii="Arial" w:hAnsi="Arial" w:cs="Arial"/>
        </w:rPr>
      </w:pPr>
    </w:p>
    <w:p w:rsidR="00E37EAF" w:rsidRPr="00E37EAF" w:rsidRDefault="00E37EAF" w:rsidP="00E37EAF">
      <w:pPr>
        <w:tabs>
          <w:tab w:val="right" w:pos="8498"/>
        </w:tabs>
        <w:jc w:val="center"/>
        <w:rPr>
          <w:rFonts w:ascii="Arial" w:hAnsi="Arial" w:cs="Arial"/>
          <w:b/>
        </w:rPr>
      </w:pPr>
      <w:r w:rsidRPr="00E37EAF">
        <w:rPr>
          <w:rFonts w:ascii="Arial" w:hAnsi="Arial" w:cs="Arial"/>
          <w:b/>
        </w:rPr>
        <w:t>( RÚBRICA )</w:t>
      </w:r>
    </w:p>
    <w:p w:rsidR="00E37EAF" w:rsidRPr="00E37EAF" w:rsidRDefault="00E37EAF" w:rsidP="00E37EAF">
      <w:pPr>
        <w:tabs>
          <w:tab w:val="right" w:pos="8498"/>
        </w:tabs>
        <w:jc w:val="center"/>
        <w:rPr>
          <w:rFonts w:ascii="Arial" w:hAnsi="Arial" w:cs="Arial"/>
          <w:b/>
        </w:rPr>
      </w:pPr>
      <w:r w:rsidRPr="00E37EAF">
        <w:rPr>
          <w:rFonts w:ascii="Arial" w:hAnsi="Arial" w:cs="Arial"/>
          <w:b/>
        </w:rPr>
        <w:t xml:space="preserve">Lic. Mauricio Vila </w:t>
      </w:r>
      <w:proofErr w:type="spellStart"/>
      <w:r w:rsidRPr="00E37EAF">
        <w:rPr>
          <w:rFonts w:ascii="Arial" w:hAnsi="Arial" w:cs="Arial"/>
          <w:b/>
        </w:rPr>
        <w:t>Dosal</w:t>
      </w:r>
      <w:proofErr w:type="spellEnd"/>
    </w:p>
    <w:p w:rsidR="00E37EAF" w:rsidRPr="00E37EAF" w:rsidRDefault="00E37EAF" w:rsidP="00E37EAF">
      <w:pPr>
        <w:tabs>
          <w:tab w:val="right" w:pos="8498"/>
        </w:tabs>
        <w:jc w:val="center"/>
        <w:rPr>
          <w:rFonts w:ascii="Arial" w:hAnsi="Arial" w:cs="Arial"/>
          <w:b/>
        </w:rPr>
      </w:pPr>
      <w:r w:rsidRPr="00E37EAF">
        <w:rPr>
          <w:rFonts w:ascii="Arial" w:hAnsi="Arial" w:cs="Arial"/>
          <w:b/>
        </w:rPr>
        <w:t>Gobernador del Estado de Yucatán</w:t>
      </w:r>
    </w:p>
    <w:p w:rsidR="00E37EAF" w:rsidRPr="00E37EAF" w:rsidRDefault="00E37EAF" w:rsidP="00E37EAF">
      <w:pPr>
        <w:tabs>
          <w:tab w:val="right" w:pos="8498"/>
        </w:tabs>
        <w:jc w:val="both"/>
        <w:rPr>
          <w:rFonts w:ascii="Arial" w:hAnsi="Arial" w:cs="Arial"/>
          <w:b/>
        </w:rPr>
      </w:pPr>
    </w:p>
    <w:p w:rsidR="00E37EAF" w:rsidRPr="00E37EAF" w:rsidRDefault="00E37EAF" w:rsidP="00E37EAF">
      <w:pPr>
        <w:tabs>
          <w:tab w:val="right" w:pos="8498"/>
        </w:tabs>
        <w:jc w:val="both"/>
        <w:rPr>
          <w:rFonts w:ascii="Arial" w:hAnsi="Arial" w:cs="Arial"/>
          <w:b/>
        </w:rPr>
      </w:pPr>
    </w:p>
    <w:p w:rsidR="00E37EAF" w:rsidRPr="00E37EAF" w:rsidRDefault="00E37EAF" w:rsidP="00E37EAF">
      <w:pPr>
        <w:tabs>
          <w:tab w:val="right" w:pos="8498"/>
        </w:tabs>
        <w:jc w:val="both"/>
        <w:rPr>
          <w:rFonts w:ascii="Arial" w:hAnsi="Arial" w:cs="Arial"/>
          <w:b/>
        </w:rPr>
      </w:pPr>
      <w:r w:rsidRPr="00E37EAF">
        <w:rPr>
          <w:rFonts w:ascii="Arial" w:hAnsi="Arial" w:cs="Arial"/>
          <w:b/>
        </w:rPr>
        <w:t xml:space="preserve">( RÚBRICA ) </w:t>
      </w:r>
    </w:p>
    <w:p w:rsidR="00E37EAF" w:rsidRPr="00E37EAF" w:rsidRDefault="00E37EAF" w:rsidP="00E37EAF">
      <w:pPr>
        <w:tabs>
          <w:tab w:val="right" w:pos="8498"/>
        </w:tabs>
        <w:jc w:val="both"/>
        <w:rPr>
          <w:rFonts w:ascii="Arial" w:hAnsi="Arial" w:cs="Arial"/>
          <w:b/>
        </w:rPr>
      </w:pPr>
      <w:proofErr w:type="spellStart"/>
      <w:r w:rsidRPr="00E37EAF">
        <w:rPr>
          <w:rFonts w:ascii="Arial" w:hAnsi="Arial" w:cs="Arial"/>
          <w:b/>
        </w:rPr>
        <w:t>Abog</w:t>
      </w:r>
      <w:proofErr w:type="spellEnd"/>
      <w:r w:rsidRPr="00E37EAF">
        <w:rPr>
          <w:rFonts w:ascii="Arial" w:hAnsi="Arial" w:cs="Arial"/>
          <w:b/>
        </w:rPr>
        <w:t xml:space="preserve">. María Dolores Fritz Sierra </w:t>
      </w:r>
    </w:p>
    <w:p w:rsidR="00AA5131" w:rsidRDefault="00E37EAF" w:rsidP="00E37EAF">
      <w:pPr>
        <w:tabs>
          <w:tab w:val="right" w:pos="8498"/>
        </w:tabs>
        <w:jc w:val="both"/>
        <w:rPr>
          <w:rFonts w:ascii="Arial" w:hAnsi="Arial" w:cs="Arial"/>
          <w:b/>
        </w:rPr>
      </w:pPr>
      <w:r w:rsidRPr="00E37EAF">
        <w:rPr>
          <w:rFonts w:ascii="Arial" w:hAnsi="Arial" w:cs="Arial"/>
          <w:b/>
        </w:rPr>
        <w:t>Secretaria general de Gobierno</w:t>
      </w:r>
    </w:p>
    <w:p w:rsidR="000D6E82" w:rsidRDefault="000D6E82" w:rsidP="00E37EAF">
      <w:pPr>
        <w:tabs>
          <w:tab w:val="right" w:pos="8498"/>
        </w:tabs>
        <w:jc w:val="both"/>
        <w:rPr>
          <w:rFonts w:ascii="Arial" w:hAnsi="Arial" w:cs="Arial"/>
          <w:b/>
        </w:rPr>
      </w:pPr>
    </w:p>
    <w:p w:rsidR="000D6E82" w:rsidRDefault="000D6E82" w:rsidP="00E37EAF">
      <w:pPr>
        <w:tabs>
          <w:tab w:val="right" w:pos="8498"/>
        </w:tabs>
        <w:jc w:val="both"/>
        <w:rPr>
          <w:rFonts w:ascii="Arial" w:hAnsi="Arial" w:cs="Arial"/>
          <w:b/>
        </w:rPr>
      </w:pPr>
    </w:p>
    <w:p w:rsidR="000D6E82" w:rsidRDefault="000D6E82" w:rsidP="00E37EAF">
      <w:pPr>
        <w:tabs>
          <w:tab w:val="right" w:pos="8498"/>
        </w:tabs>
        <w:jc w:val="both"/>
        <w:rPr>
          <w:rFonts w:ascii="Arial" w:hAnsi="Arial" w:cs="Arial"/>
          <w:b/>
        </w:rPr>
      </w:pPr>
    </w:p>
    <w:p w:rsidR="000D6E82" w:rsidRDefault="000D6E82" w:rsidP="00E37EAF">
      <w:pPr>
        <w:tabs>
          <w:tab w:val="right" w:pos="8498"/>
        </w:tabs>
        <w:jc w:val="both"/>
        <w:rPr>
          <w:rFonts w:ascii="Arial" w:hAnsi="Arial" w:cs="Arial"/>
          <w:b/>
        </w:rPr>
      </w:pPr>
    </w:p>
    <w:p w:rsidR="000D6E82" w:rsidRDefault="000D6E82" w:rsidP="00E37EAF">
      <w:pPr>
        <w:tabs>
          <w:tab w:val="right" w:pos="8498"/>
        </w:tabs>
        <w:jc w:val="both"/>
        <w:rPr>
          <w:rFonts w:ascii="Arial" w:hAnsi="Arial" w:cs="Arial"/>
          <w:b/>
        </w:rPr>
      </w:pPr>
    </w:p>
    <w:p w:rsidR="000D6E82" w:rsidRPr="00E37EAF" w:rsidRDefault="000D6E82" w:rsidP="00E37EAF">
      <w:pPr>
        <w:tabs>
          <w:tab w:val="right" w:pos="8498"/>
        </w:tabs>
        <w:jc w:val="both"/>
        <w:rPr>
          <w:rFonts w:ascii="Arial" w:hAnsi="Arial" w:cs="Arial"/>
          <w:b/>
          <w:bCs/>
          <w:sz w:val="22"/>
          <w:szCs w:val="22"/>
          <w:lang w:val="es-MX"/>
        </w:rPr>
      </w:pPr>
    </w:p>
    <w:p w:rsidR="00D479C3" w:rsidRPr="00E37EAF" w:rsidRDefault="00D479C3" w:rsidP="00D479C3">
      <w:pPr>
        <w:spacing w:line="354" w:lineRule="auto"/>
        <w:ind w:right="-3"/>
        <w:jc w:val="both"/>
        <w:rPr>
          <w:rFonts w:ascii="Arial" w:eastAsia="Arial" w:hAnsi="Arial" w:cs="Arial"/>
          <w:b/>
          <w:color w:val="000000"/>
          <w:sz w:val="18"/>
          <w:szCs w:val="18"/>
          <w:lang w:val="es-MX" w:eastAsia="es-MX"/>
        </w:rPr>
      </w:pPr>
    </w:p>
    <w:p w:rsidR="00D479C3" w:rsidRPr="00E37EAF" w:rsidRDefault="00D479C3" w:rsidP="00D479C3">
      <w:pPr>
        <w:spacing w:line="354" w:lineRule="auto"/>
        <w:ind w:right="-3"/>
        <w:jc w:val="both"/>
        <w:rPr>
          <w:rFonts w:ascii="Arial" w:eastAsia="Arial" w:hAnsi="Arial" w:cs="Arial"/>
          <w:color w:val="000000"/>
          <w:sz w:val="18"/>
          <w:szCs w:val="18"/>
          <w:lang w:val="es-MX" w:eastAsia="es-MX"/>
        </w:rPr>
      </w:pPr>
    </w:p>
    <w:p w:rsidR="00D479C3" w:rsidRPr="00E37EAF" w:rsidRDefault="00D479C3" w:rsidP="00905CC7">
      <w:pPr>
        <w:tabs>
          <w:tab w:val="right" w:pos="8498"/>
        </w:tabs>
        <w:jc w:val="both"/>
        <w:rPr>
          <w:rFonts w:ascii="Arial" w:hAnsi="Arial" w:cs="Arial"/>
          <w:b/>
          <w:bCs/>
          <w:sz w:val="22"/>
          <w:szCs w:val="22"/>
          <w:lang w:val="es-MX"/>
        </w:rPr>
      </w:pPr>
    </w:p>
    <w:p w:rsidR="00D479C3" w:rsidRDefault="00D479C3" w:rsidP="00905CC7">
      <w:pPr>
        <w:tabs>
          <w:tab w:val="right" w:pos="8498"/>
        </w:tabs>
        <w:jc w:val="both"/>
        <w:rPr>
          <w:rFonts w:ascii="Arial" w:hAnsi="Arial" w:cs="Arial"/>
          <w:b/>
          <w:bCs/>
          <w:sz w:val="22"/>
          <w:szCs w:val="22"/>
          <w:lang w:val="es-MX"/>
        </w:rPr>
      </w:pPr>
    </w:p>
    <w:p w:rsidR="000D6E82" w:rsidRPr="00D71A21" w:rsidRDefault="000D6E82" w:rsidP="00D71A21">
      <w:pPr>
        <w:jc w:val="center"/>
        <w:rPr>
          <w:rFonts w:ascii="Arial" w:hAnsi="Arial" w:cs="Arial"/>
          <w:b/>
          <w:sz w:val="22"/>
          <w:szCs w:val="22"/>
        </w:rPr>
      </w:pPr>
      <w:r w:rsidRPr="00D71A21">
        <w:rPr>
          <w:rFonts w:ascii="Arial" w:hAnsi="Arial" w:cs="Arial"/>
          <w:b/>
          <w:sz w:val="22"/>
          <w:szCs w:val="22"/>
        </w:rPr>
        <w:t>DECRETO 526/2022</w:t>
      </w:r>
    </w:p>
    <w:p w:rsidR="000D6E82" w:rsidRPr="00D71A21" w:rsidRDefault="000D6E82" w:rsidP="00D71A21">
      <w:pPr>
        <w:jc w:val="center"/>
        <w:rPr>
          <w:rFonts w:ascii="Arial" w:hAnsi="Arial" w:cs="Arial"/>
          <w:b/>
          <w:color w:val="000000"/>
          <w:sz w:val="22"/>
          <w:szCs w:val="22"/>
        </w:rPr>
      </w:pPr>
      <w:r w:rsidRPr="00D71A21">
        <w:rPr>
          <w:rFonts w:ascii="Arial" w:hAnsi="Arial" w:cs="Arial"/>
          <w:b/>
          <w:color w:val="000000"/>
          <w:sz w:val="22"/>
          <w:szCs w:val="22"/>
        </w:rPr>
        <w:t xml:space="preserve">Publicado en el Diario Oficial del Gobierno del Estado </w:t>
      </w:r>
    </w:p>
    <w:p w:rsidR="000D6E82" w:rsidRPr="00D71A21" w:rsidRDefault="000D6E82" w:rsidP="00D71A21">
      <w:pPr>
        <w:ind w:right="261"/>
        <w:jc w:val="center"/>
        <w:rPr>
          <w:rFonts w:ascii="Arial" w:hAnsi="Arial" w:cs="Arial"/>
          <w:b/>
          <w:color w:val="000000"/>
          <w:sz w:val="22"/>
          <w:szCs w:val="22"/>
        </w:rPr>
      </w:pPr>
      <w:proofErr w:type="gramStart"/>
      <w:r w:rsidRPr="00D71A21">
        <w:rPr>
          <w:rFonts w:ascii="Arial" w:hAnsi="Arial" w:cs="Arial"/>
          <w:b/>
          <w:color w:val="000000"/>
          <w:sz w:val="22"/>
          <w:szCs w:val="22"/>
        </w:rPr>
        <w:t>el</w:t>
      </w:r>
      <w:proofErr w:type="gramEnd"/>
      <w:r w:rsidRPr="00D71A21">
        <w:rPr>
          <w:rFonts w:ascii="Arial" w:hAnsi="Arial" w:cs="Arial"/>
          <w:b/>
          <w:color w:val="000000"/>
          <w:sz w:val="22"/>
          <w:szCs w:val="22"/>
        </w:rPr>
        <w:t xml:space="preserve"> 30 de junio de 2022.</w:t>
      </w:r>
    </w:p>
    <w:p w:rsidR="000D6E82" w:rsidRPr="00D71A21" w:rsidRDefault="000D6E82" w:rsidP="00D71A21">
      <w:pPr>
        <w:ind w:right="261"/>
        <w:jc w:val="center"/>
        <w:rPr>
          <w:rFonts w:ascii="Arial" w:hAnsi="Arial" w:cs="Arial"/>
          <w:b/>
          <w:color w:val="000000"/>
          <w:sz w:val="22"/>
          <w:szCs w:val="22"/>
        </w:rPr>
      </w:pPr>
    </w:p>
    <w:p w:rsidR="000D6E82" w:rsidRPr="00D71A21" w:rsidRDefault="000D6E82" w:rsidP="00D71A21">
      <w:pPr>
        <w:pStyle w:val="Textoindependiente"/>
        <w:jc w:val="center"/>
        <w:rPr>
          <w:rFonts w:ascii="Arial" w:hAnsi="Arial" w:cs="Arial"/>
          <w:b/>
          <w:sz w:val="22"/>
          <w:szCs w:val="22"/>
        </w:rPr>
      </w:pPr>
      <w:r w:rsidRPr="00D71A21">
        <w:rPr>
          <w:rFonts w:ascii="Arial" w:hAnsi="Arial" w:cs="Arial"/>
          <w:b/>
          <w:sz w:val="22"/>
          <w:szCs w:val="22"/>
        </w:rPr>
        <w:t>DECRETO</w:t>
      </w:r>
    </w:p>
    <w:p w:rsidR="000D6E82" w:rsidRPr="00D71A21" w:rsidRDefault="000D6E82" w:rsidP="00D71A21">
      <w:pPr>
        <w:ind w:right="261"/>
        <w:jc w:val="both"/>
        <w:rPr>
          <w:rFonts w:ascii="Arial" w:hAnsi="Arial" w:cs="Arial"/>
          <w:b/>
          <w:sz w:val="22"/>
          <w:szCs w:val="22"/>
        </w:rPr>
      </w:pPr>
      <w:r w:rsidRPr="00D71A21">
        <w:rPr>
          <w:rFonts w:ascii="Arial" w:hAnsi="Arial" w:cs="Arial"/>
          <w:b/>
          <w:sz w:val="22"/>
          <w:szCs w:val="22"/>
        </w:rPr>
        <w:t>Por el que se autoriza al Poder Ejecutivo del Estado de Yucatán para contratar en los ejercicios fiscales 2022 y 2023 uno o varios financiamientos para destinarlos a inversiones públicas productivas y se modifica la Ley de Ingresos del Estado de Yucatán para el Ejercicio Fiscal 2022.</w:t>
      </w:r>
    </w:p>
    <w:p w:rsidR="000D6E82" w:rsidRPr="00D71A21" w:rsidRDefault="000D6E82" w:rsidP="00D71A21">
      <w:pPr>
        <w:ind w:left="284" w:right="261"/>
        <w:jc w:val="center"/>
        <w:rPr>
          <w:rFonts w:ascii="Arial" w:hAnsi="Arial" w:cs="Arial"/>
          <w:b/>
          <w:bCs/>
          <w:sz w:val="22"/>
          <w:szCs w:val="22"/>
        </w:rPr>
      </w:pPr>
    </w:p>
    <w:p w:rsidR="000D6E82" w:rsidRPr="00D71A21" w:rsidRDefault="0054371D" w:rsidP="00D71A21">
      <w:pPr>
        <w:pBdr>
          <w:between w:val="nil"/>
        </w:pBdr>
        <w:tabs>
          <w:tab w:val="left" w:pos="1363"/>
        </w:tabs>
        <w:jc w:val="both"/>
        <w:rPr>
          <w:rFonts w:ascii="Arial" w:eastAsia="Arial" w:hAnsi="Arial" w:cs="Arial"/>
          <w:b/>
          <w:color w:val="000000"/>
          <w:sz w:val="22"/>
          <w:szCs w:val="22"/>
        </w:rPr>
      </w:pPr>
      <w:r w:rsidRPr="00D71A21">
        <w:rPr>
          <w:rFonts w:ascii="Arial" w:hAnsi="Arial" w:cs="Arial"/>
          <w:b/>
          <w:sz w:val="22"/>
          <w:szCs w:val="22"/>
        </w:rPr>
        <w:t>Artículo primero.</w:t>
      </w:r>
      <w:r w:rsidRPr="00D71A21">
        <w:rPr>
          <w:rFonts w:ascii="Arial" w:hAnsi="Arial" w:cs="Arial"/>
          <w:sz w:val="22"/>
          <w:szCs w:val="22"/>
        </w:rPr>
        <w:t xml:space="preserve"> Se autoriza al Poder Ejecutivo del Estado de Yucatán, por conducto de la Secretaría de Administración y Finanzas, para contratar en los ejercicios fiscales 2022 y 2023 uno o varios financiamientos para destinarlos a inversiones públicas productivas, de conformidad con los siguientes artículos:</w:t>
      </w:r>
    </w:p>
    <w:p w:rsidR="0054371D" w:rsidRPr="00D71A21" w:rsidRDefault="0054371D" w:rsidP="00D71A21">
      <w:pPr>
        <w:pBdr>
          <w:between w:val="nil"/>
        </w:pBdr>
        <w:tabs>
          <w:tab w:val="left" w:pos="1363"/>
        </w:tabs>
        <w:jc w:val="both"/>
        <w:rPr>
          <w:rFonts w:ascii="Arial" w:eastAsia="Arial" w:hAnsi="Arial" w:cs="Arial"/>
          <w:b/>
          <w:color w:val="000000"/>
          <w:sz w:val="22"/>
          <w:szCs w:val="22"/>
        </w:rPr>
      </w:pPr>
    </w:p>
    <w:p w:rsidR="0054371D" w:rsidRPr="00D71A21" w:rsidRDefault="0054371D" w:rsidP="00D71A21">
      <w:pPr>
        <w:pBdr>
          <w:between w:val="nil"/>
        </w:pBdr>
        <w:tabs>
          <w:tab w:val="left" w:pos="1363"/>
        </w:tabs>
        <w:jc w:val="both"/>
        <w:rPr>
          <w:rFonts w:ascii="Arial" w:eastAsia="Arial" w:hAnsi="Arial" w:cs="Arial"/>
          <w:b/>
          <w:color w:val="000000"/>
          <w:sz w:val="22"/>
          <w:szCs w:val="22"/>
        </w:rPr>
      </w:pPr>
      <w:r w:rsidRPr="00D71A21">
        <w:rPr>
          <w:rFonts w:ascii="Arial" w:hAnsi="Arial" w:cs="Arial"/>
          <w:b/>
          <w:sz w:val="22"/>
          <w:szCs w:val="22"/>
        </w:rPr>
        <w:t>Artículo segundo.</w:t>
      </w:r>
      <w:r w:rsidRPr="00D71A21">
        <w:rPr>
          <w:rFonts w:ascii="Arial" w:hAnsi="Arial" w:cs="Arial"/>
          <w:sz w:val="22"/>
          <w:szCs w:val="22"/>
        </w:rPr>
        <w:t xml:space="preserve"> Se reforman: el total y el numeral 0 de la tabla del artículo 2 de la Ley de Ingresos del Estado de Yucatán para el Ejercicio Fiscal 2022, para quedar como sigue:</w:t>
      </w:r>
    </w:p>
    <w:p w:rsidR="000D6E82" w:rsidRPr="00D71A21" w:rsidRDefault="000D6E82" w:rsidP="00D71A21">
      <w:pPr>
        <w:ind w:left="567" w:hanging="567"/>
        <w:jc w:val="center"/>
        <w:rPr>
          <w:rFonts w:ascii="Arial" w:eastAsia="Arial" w:hAnsi="Arial" w:cs="Arial"/>
          <w:b/>
          <w:sz w:val="22"/>
          <w:szCs w:val="22"/>
        </w:rPr>
      </w:pPr>
      <w:r w:rsidRPr="00D71A21">
        <w:rPr>
          <w:rFonts w:ascii="Arial" w:eastAsia="Arial" w:hAnsi="Arial" w:cs="Arial"/>
          <w:b/>
          <w:sz w:val="22"/>
          <w:szCs w:val="22"/>
        </w:rPr>
        <w:t>Transitorios</w:t>
      </w:r>
    </w:p>
    <w:p w:rsidR="000D6E82" w:rsidRPr="00D71A21" w:rsidRDefault="000D6E82" w:rsidP="00D71A21">
      <w:pPr>
        <w:ind w:left="567" w:hanging="567"/>
        <w:jc w:val="center"/>
        <w:rPr>
          <w:rFonts w:ascii="Arial" w:eastAsia="Arial" w:hAnsi="Arial" w:cs="Arial"/>
          <w:b/>
          <w:sz w:val="22"/>
          <w:szCs w:val="22"/>
        </w:rPr>
      </w:pPr>
    </w:p>
    <w:p w:rsidR="00F445E1" w:rsidRPr="00D71A21" w:rsidRDefault="0054371D" w:rsidP="00D71A21">
      <w:pPr>
        <w:jc w:val="both"/>
        <w:rPr>
          <w:rFonts w:ascii="Arial" w:hAnsi="Arial" w:cs="Arial"/>
          <w:b/>
          <w:sz w:val="22"/>
          <w:szCs w:val="22"/>
        </w:rPr>
      </w:pPr>
      <w:r w:rsidRPr="00D71A21">
        <w:rPr>
          <w:rFonts w:ascii="Arial" w:hAnsi="Arial" w:cs="Arial"/>
          <w:b/>
          <w:sz w:val="22"/>
          <w:szCs w:val="22"/>
        </w:rPr>
        <w:t xml:space="preserve">Artículo primero. Entrada en vigor </w:t>
      </w:r>
    </w:p>
    <w:p w:rsidR="00F445E1" w:rsidRPr="00D71A21" w:rsidRDefault="0054371D" w:rsidP="00D71A21">
      <w:pPr>
        <w:jc w:val="both"/>
        <w:rPr>
          <w:rFonts w:ascii="Arial" w:hAnsi="Arial" w:cs="Arial"/>
          <w:sz w:val="22"/>
          <w:szCs w:val="22"/>
        </w:rPr>
      </w:pPr>
      <w:r w:rsidRPr="00D71A21">
        <w:rPr>
          <w:rFonts w:ascii="Arial" w:hAnsi="Arial" w:cs="Arial"/>
          <w:sz w:val="22"/>
          <w:szCs w:val="22"/>
        </w:rPr>
        <w:t xml:space="preserve">Este decreto entrará en vigor el día siguiente al de su publicación en el Diario Oficial del Gobierno del Estado de Yucatán. </w:t>
      </w:r>
    </w:p>
    <w:p w:rsidR="00F445E1" w:rsidRPr="00D71A21" w:rsidRDefault="00F445E1" w:rsidP="00D71A21">
      <w:pPr>
        <w:jc w:val="both"/>
        <w:rPr>
          <w:rFonts w:ascii="Arial" w:hAnsi="Arial" w:cs="Arial"/>
          <w:sz w:val="22"/>
          <w:szCs w:val="22"/>
        </w:rPr>
      </w:pPr>
    </w:p>
    <w:p w:rsidR="00F445E1" w:rsidRPr="00D71A21" w:rsidRDefault="0054371D" w:rsidP="00D71A21">
      <w:pPr>
        <w:jc w:val="both"/>
        <w:rPr>
          <w:rFonts w:ascii="Arial" w:hAnsi="Arial" w:cs="Arial"/>
          <w:b/>
          <w:sz w:val="22"/>
          <w:szCs w:val="22"/>
        </w:rPr>
      </w:pPr>
      <w:r w:rsidRPr="00D71A21">
        <w:rPr>
          <w:rFonts w:ascii="Arial" w:hAnsi="Arial" w:cs="Arial"/>
          <w:b/>
          <w:sz w:val="22"/>
          <w:szCs w:val="22"/>
        </w:rPr>
        <w:t xml:space="preserve">Artículo segundo. Inscripción en los registros </w:t>
      </w:r>
    </w:p>
    <w:p w:rsidR="0054371D" w:rsidRPr="00D71A21" w:rsidRDefault="0054371D" w:rsidP="00D71A21">
      <w:pPr>
        <w:jc w:val="both"/>
        <w:rPr>
          <w:rFonts w:ascii="Arial" w:hAnsi="Arial" w:cs="Arial"/>
          <w:sz w:val="22"/>
          <w:szCs w:val="22"/>
        </w:rPr>
      </w:pPr>
      <w:r w:rsidRPr="00D71A21">
        <w:rPr>
          <w:rFonts w:ascii="Arial" w:hAnsi="Arial" w:cs="Arial"/>
          <w:sz w:val="22"/>
          <w:szCs w:val="22"/>
        </w:rPr>
        <w:t>El financiamiento o los financiamientos que se contraten al amparo de este decreto se deberán inscribir en el Registro de Empréstitos y Obligaciones del Estado de Yucatán, a cargo de la Secretaría de Administración y Finanzas, y en el Registro Público Único de Financiamientos y Obligaciones de Entidades Federativas y Municipios, a cargo de la Secretaría de Hacienda y Crédito Público.</w:t>
      </w:r>
    </w:p>
    <w:p w:rsidR="00F445E1" w:rsidRPr="00D71A21" w:rsidRDefault="00F445E1" w:rsidP="00D71A21">
      <w:pPr>
        <w:jc w:val="both"/>
        <w:rPr>
          <w:rFonts w:ascii="Arial" w:hAnsi="Arial" w:cs="Arial"/>
          <w:sz w:val="22"/>
          <w:szCs w:val="22"/>
        </w:rPr>
      </w:pPr>
    </w:p>
    <w:p w:rsidR="00F445E1" w:rsidRPr="00D71A21" w:rsidRDefault="00F445E1" w:rsidP="00D71A21">
      <w:pPr>
        <w:jc w:val="both"/>
        <w:rPr>
          <w:rFonts w:ascii="Arial" w:hAnsi="Arial" w:cs="Arial"/>
          <w:b/>
          <w:sz w:val="22"/>
          <w:szCs w:val="22"/>
        </w:rPr>
      </w:pPr>
      <w:r w:rsidRPr="00D71A21">
        <w:rPr>
          <w:rFonts w:ascii="Arial" w:hAnsi="Arial" w:cs="Arial"/>
          <w:b/>
          <w:sz w:val="22"/>
          <w:szCs w:val="22"/>
        </w:rPr>
        <w:t xml:space="preserve">Artículo tercero. Adecuaciones presupuestales </w:t>
      </w:r>
    </w:p>
    <w:p w:rsidR="00F445E1" w:rsidRPr="00D71A21" w:rsidRDefault="00F445E1" w:rsidP="00D71A21">
      <w:pPr>
        <w:jc w:val="both"/>
        <w:rPr>
          <w:rFonts w:ascii="Arial" w:hAnsi="Arial" w:cs="Arial"/>
          <w:sz w:val="22"/>
          <w:szCs w:val="22"/>
        </w:rPr>
      </w:pPr>
      <w:r w:rsidRPr="00D71A21">
        <w:rPr>
          <w:rFonts w:ascii="Arial" w:hAnsi="Arial" w:cs="Arial"/>
          <w:sz w:val="22"/>
          <w:szCs w:val="22"/>
        </w:rPr>
        <w:t xml:space="preserve">El Poder Ejecutivo del estado, con base en la autorización a que se refiere este decreto, y a efecto de prever el monto o partidas para el servicio de la deuda que contraiga al contratar el o los financiamientos autorizados, deberá realizar las adecuaciones presupuestales respectivas y las adecuaciones relativas al ejercicio de los recursos derivados del o los financiamientos, de conformidad con las disposiciones establecidas en la Ley del Presupuesto y Contabilidad Gubernamental del Estado de Yucatán y su reglamento. </w:t>
      </w:r>
    </w:p>
    <w:p w:rsidR="00F445E1" w:rsidRPr="00D71A21" w:rsidRDefault="00F445E1" w:rsidP="00D71A21">
      <w:pPr>
        <w:jc w:val="both"/>
        <w:rPr>
          <w:rFonts w:ascii="Arial" w:hAnsi="Arial" w:cs="Arial"/>
          <w:sz w:val="22"/>
          <w:szCs w:val="22"/>
        </w:rPr>
      </w:pPr>
    </w:p>
    <w:p w:rsidR="00F445E1" w:rsidRPr="00D71A21" w:rsidRDefault="00F445E1" w:rsidP="00D71A21">
      <w:pPr>
        <w:jc w:val="both"/>
        <w:rPr>
          <w:rFonts w:ascii="Arial" w:hAnsi="Arial" w:cs="Arial"/>
          <w:sz w:val="22"/>
          <w:szCs w:val="22"/>
        </w:rPr>
      </w:pPr>
      <w:r w:rsidRPr="00D71A21">
        <w:rPr>
          <w:rFonts w:ascii="Arial" w:hAnsi="Arial" w:cs="Arial"/>
          <w:sz w:val="22"/>
          <w:szCs w:val="22"/>
        </w:rPr>
        <w:t xml:space="preserve">El Poder Ejecutivo del Estado aplicará los recursos derivados del o los financiamientos autorizados en el presente decreto, a través de la asignación o transferencia a las dependencias o entidades de la Administración Pública estatal encargadas de ejecutar la obra pública, infraestructura carretera, o desarrollo urbano, metropolitano y de </w:t>
      </w:r>
      <w:r w:rsidRPr="00D71A21">
        <w:rPr>
          <w:rFonts w:ascii="Arial" w:hAnsi="Arial" w:cs="Arial"/>
          <w:sz w:val="22"/>
          <w:szCs w:val="22"/>
        </w:rPr>
        <w:lastRenderedPageBreak/>
        <w:t xml:space="preserve">movilidad o cualquier otra obra o erogación conexa del proyecto “IETRAM y Obras Complementarias”. </w:t>
      </w:r>
    </w:p>
    <w:p w:rsidR="00F445E1" w:rsidRPr="00D71A21" w:rsidRDefault="00F445E1" w:rsidP="00D71A21">
      <w:pPr>
        <w:jc w:val="both"/>
        <w:rPr>
          <w:rFonts w:ascii="Arial" w:hAnsi="Arial" w:cs="Arial"/>
          <w:sz w:val="22"/>
          <w:szCs w:val="22"/>
        </w:rPr>
      </w:pPr>
    </w:p>
    <w:p w:rsidR="00F445E1" w:rsidRPr="00D71A21" w:rsidRDefault="00F445E1" w:rsidP="00D71A21">
      <w:pPr>
        <w:jc w:val="both"/>
        <w:rPr>
          <w:rFonts w:ascii="Arial" w:hAnsi="Arial" w:cs="Arial"/>
          <w:b/>
          <w:sz w:val="22"/>
          <w:szCs w:val="22"/>
        </w:rPr>
      </w:pPr>
      <w:r w:rsidRPr="00D71A21">
        <w:rPr>
          <w:rFonts w:ascii="Arial" w:hAnsi="Arial" w:cs="Arial"/>
          <w:b/>
          <w:sz w:val="22"/>
          <w:szCs w:val="22"/>
        </w:rPr>
        <w:t xml:space="preserve">Artículo cuarto. Análisis de destino y capacidad de pago </w:t>
      </w:r>
    </w:p>
    <w:p w:rsidR="00F445E1" w:rsidRPr="00D71A21" w:rsidRDefault="00F445E1" w:rsidP="00D71A21">
      <w:pPr>
        <w:jc w:val="both"/>
        <w:rPr>
          <w:rFonts w:ascii="Arial" w:hAnsi="Arial" w:cs="Arial"/>
          <w:sz w:val="22"/>
          <w:szCs w:val="22"/>
        </w:rPr>
      </w:pPr>
      <w:r w:rsidRPr="00D71A21">
        <w:rPr>
          <w:rFonts w:ascii="Arial" w:hAnsi="Arial" w:cs="Arial"/>
          <w:sz w:val="22"/>
          <w:szCs w:val="22"/>
        </w:rPr>
        <w:t>Este decreto fue aprobado por el voto de, al menos, dos terceras partes de las diputadas y los diputados presentes en la sesión respectiva del Congreso del Estado de Yucatán, de conformidad con el artículo 117, fracción VIII, de la Constitución Política de los Estados Unidos Mexicanos, y previo análisis del destino de los recursos autorizados al amparo de este decreto, de la capacidad de pago y de la situación de la deuda pública del estado de Yucatán, y de los recursos a otorgarse como fuente de pago.</w:t>
      </w:r>
    </w:p>
    <w:p w:rsidR="0054371D" w:rsidRPr="00D71A21" w:rsidRDefault="0054371D" w:rsidP="00D71A21">
      <w:pPr>
        <w:jc w:val="both"/>
        <w:rPr>
          <w:rFonts w:ascii="Arial" w:hAnsi="Arial" w:cs="Arial"/>
          <w:b/>
          <w:sz w:val="22"/>
          <w:szCs w:val="22"/>
        </w:rPr>
      </w:pPr>
    </w:p>
    <w:p w:rsidR="00F445E1" w:rsidRPr="00D71A21" w:rsidRDefault="00F445E1" w:rsidP="00D71A21">
      <w:pPr>
        <w:jc w:val="both"/>
        <w:rPr>
          <w:rFonts w:ascii="Arial" w:hAnsi="Arial" w:cs="Arial"/>
          <w:b/>
          <w:sz w:val="22"/>
          <w:szCs w:val="22"/>
        </w:rPr>
      </w:pPr>
      <w:r w:rsidRPr="00D71A21">
        <w:rPr>
          <w:rFonts w:ascii="Arial" w:hAnsi="Arial" w:cs="Arial"/>
          <w:b/>
          <w:sz w:val="22"/>
          <w:szCs w:val="22"/>
        </w:rPr>
        <w:t xml:space="preserve">DADO EN LA SEDE DEL RECINTO DEL PODER LEGISLATIVO EN LA CIUDAD DE MÉRIDA, YUCATÁN, ESTADOS UNIDOS MEXICANOS A LOS TREINTA DÍAS DEL MES DE JUNIO DEL AÑO DOS MIL VEINTIDÓS.- PRESIDENTA DIPUTADA INGRID DEL PILAR SANTOS DÍAZ.- SECRETARIO DIPUTADO RAÚL ANTONIO ROMERO CHEL.- SECRETARIA DIPUTADA ALEJANDRA DE LOS ÁNGELES NOVELO SEGURA.- RÚBRICAS.” </w:t>
      </w:r>
    </w:p>
    <w:p w:rsidR="00F445E1" w:rsidRPr="00D71A21" w:rsidRDefault="00F445E1" w:rsidP="00D71A21">
      <w:pPr>
        <w:jc w:val="both"/>
        <w:rPr>
          <w:rFonts w:ascii="Arial" w:hAnsi="Arial" w:cs="Arial"/>
          <w:sz w:val="22"/>
          <w:szCs w:val="22"/>
        </w:rPr>
      </w:pPr>
    </w:p>
    <w:p w:rsidR="00F445E1" w:rsidRPr="00D71A21" w:rsidRDefault="00F445E1" w:rsidP="00D71A21">
      <w:pPr>
        <w:jc w:val="both"/>
        <w:rPr>
          <w:rFonts w:ascii="Arial" w:hAnsi="Arial" w:cs="Arial"/>
          <w:sz w:val="22"/>
          <w:szCs w:val="22"/>
        </w:rPr>
      </w:pPr>
      <w:r w:rsidRPr="00D71A21">
        <w:rPr>
          <w:rFonts w:ascii="Arial" w:hAnsi="Arial" w:cs="Arial"/>
          <w:sz w:val="22"/>
          <w:szCs w:val="22"/>
        </w:rPr>
        <w:t xml:space="preserve">Y, por tanto, mando se imprima, publique y circule para su conocimiento y debido cumplimiento. </w:t>
      </w:r>
    </w:p>
    <w:p w:rsidR="00F445E1" w:rsidRPr="00D71A21" w:rsidRDefault="00F445E1" w:rsidP="00D71A21">
      <w:pPr>
        <w:jc w:val="both"/>
        <w:rPr>
          <w:rFonts w:ascii="Arial" w:hAnsi="Arial" w:cs="Arial"/>
          <w:sz w:val="22"/>
          <w:szCs w:val="22"/>
        </w:rPr>
      </w:pPr>
    </w:p>
    <w:p w:rsidR="00F445E1" w:rsidRPr="00D71A21" w:rsidRDefault="00F445E1" w:rsidP="00D71A21">
      <w:pPr>
        <w:jc w:val="both"/>
        <w:rPr>
          <w:rFonts w:ascii="Arial" w:hAnsi="Arial" w:cs="Arial"/>
          <w:sz w:val="22"/>
          <w:szCs w:val="22"/>
        </w:rPr>
      </w:pPr>
      <w:r w:rsidRPr="00D71A21">
        <w:rPr>
          <w:rFonts w:ascii="Arial" w:hAnsi="Arial" w:cs="Arial"/>
          <w:sz w:val="22"/>
          <w:szCs w:val="22"/>
        </w:rPr>
        <w:t xml:space="preserve">Se expide este decreto en la sede del Poder Ejecutivo, en Mérida, Yucatán, a 30 de junio de 2022. </w:t>
      </w:r>
    </w:p>
    <w:p w:rsidR="00F445E1" w:rsidRPr="00D71A21" w:rsidRDefault="00F445E1" w:rsidP="00D71A21">
      <w:pPr>
        <w:jc w:val="both"/>
        <w:rPr>
          <w:rFonts w:ascii="Arial" w:hAnsi="Arial" w:cs="Arial"/>
          <w:sz w:val="22"/>
          <w:szCs w:val="22"/>
        </w:rPr>
      </w:pPr>
    </w:p>
    <w:p w:rsidR="000D6E82" w:rsidRPr="00D71A21" w:rsidRDefault="000D6E82" w:rsidP="00D71A21">
      <w:pPr>
        <w:jc w:val="center"/>
        <w:rPr>
          <w:rFonts w:ascii="Arial" w:hAnsi="Arial" w:cs="Arial"/>
          <w:b/>
          <w:sz w:val="22"/>
          <w:szCs w:val="22"/>
        </w:rPr>
      </w:pPr>
      <w:r w:rsidRPr="00D71A21">
        <w:rPr>
          <w:rFonts w:ascii="Arial" w:hAnsi="Arial" w:cs="Arial"/>
          <w:b/>
          <w:sz w:val="22"/>
          <w:szCs w:val="22"/>
        </w:rPr>
        <w:t>(RÚBRICA)</w:t>
      </w:r>
    </w:p>
    <w:p w:rsidR="00D71A21" w:rsidRPr="00D71A21" w:rsidRDefault="00D71A21" w:rsidP="00D71A21">
      <w:pPr>
        <w:jc w:val="center"/>
        <w:rPr>
          <w:rFonts w:ascii="Arial" w:hAnsi="Arial" w:cs="Arial"/>
          <w:b/>
          <w:sz w:val="22"/>
          <w:szCs w:val="22"/>
        </w:rPr>
      </w:pPr>
    </w:p>
    <w:p w:rsidR="000D6E82" w:rsidRPr="00D71A21" w:rsidRDefault="000D6E82" w:rsidP="00D71A21">
      <w:pPr>
        <w:jc w:val="center"/>
        <w:rPr>
          <w:rFonts w:ascii="Arial" w:hAnsi="Arial" w:cs="Arial"/>
          <w:b/>
          <w:sz w:val="22"/>
          <w:szCs w:val="22"/>
        </w:rPr>
      </w:pPr>
      <w:r w:rsidRPr="00D71A21">
        <w:rPr>
          <w:rFonts w:ascii="Arial" w:hAnsi="Arial" w:cs="Arial"/>
          <w:b/>
          <w:sz w:val="22"/>
          <w:szCs w:val="22"/>
        </w:rPr>
        <w:t xml:space="preserve">Lic. Mauricio Vila </w:t>
      </w:r>
      <w:proofErr w:type="spellStart"/>
      <w:r w:rsidRPr="00D71A21">
        <w:rPr>
          <w:rFonts w:ascii="Arial" w:hAnsi="Arial" w:cs="Arial"/>
          <w:b/>
          <w:sz w:val="22"/>
          <w:szCs w:val="22"/>
        </w:rPr>
        <w:t>Dosal</w:t>
      </w:r>
      <w:proofErr w:type="spellEnd"/>
    </w:p>
    <w:p w:rsidR="000D6E82" w:rsidRPr="00D71A21" w:rsidRDefault="000D6E82" w:rsidP="00D71A21">
      <w:pPr>
        <w:jc w:val="center"/>
        <w:rPr>
          <w:rFonts w:ascii="Arial" w:hAnsi="Arial" w:cs="Arial"/>
          <w:b/>
          <w:sz w:val="22"/>
          <w:szCs w:val="22"/>
        </w:rPr>
      </w:pPr>
      <w:r w:rsidRPr="00D71A21">
        <w:rPr>
          <w:rFonts w:ascii="Arial" w:hAnsi="Arial" w:cs="Arial"/>
          <w:b/>
          <w:sz w:val="22"/>
          <w:szCs w:val="22"/>
        </w:rPr>
        <w:t>Gobernador del Estado de Yucatán</w:t>
      </w:r>
    </w:p>
    <w:p w:rsidR="000D6E82" w:rsidRPr="00D71A21" w:rsidRDefault="000D6E82" w:rsidP="00D71A21">
      <w:pPr>
        <w:jc w:val="center"/>
        <w:rPr>
          <w:rFonts w:ascii="Arial" w:hAnsi="Arial" w:cs="Arial"/>
          <w:b/>
          <w:sz w:val="22"/>
          <w:szCs w:val="22"/>
        </w:rPr>
      </w:pPr>
    </w:p>
    <w:p w:rsidR="000D6E82" w:rsidRPr="00D71A21" w:rsidRDefault="00D71A21" w:rsidP="00D71A21">
      <w:pPr>
        <w:rPr>
          <w:rFonts w:ascii="Arial" w:hAnsi="Arial" w:cs="Arial"/>
          <w:b/>
          <w:sz w:val="22"/>
          <w:szCs w:val="22"/>
        </w:rPr>
      </w:pPr>
      <w:r w:rsidRPr="00D71A21">
        <w:rPr>
          <w:rFonts w:ascii="Arial" w:hAnsi="Arial" w:cs="Arial"/>
          <w:b/>
          <w:sz w:val="22"/>
          <w:szCs w:val="22"/>
        </w:rPr>
        <w:t xml:space="preserve">              </w:t>
      </w:r>
      <w:r w:rsidR="000D6E82" w:rsidRPr="00D71A21">
        <w:rPr>
          <w:rFonts w:ascii="Arial" w:hAnsi="Arial" w:cs="Arial"/>
          <w:b/>
          <w:sz w:val="22"/>
          <w:szCs w:val="22"/>
        </w:rPr>
        <w:t>(RÚBRICA)</w:t>
      </w:r>
    </w:p>
    <w:p w:rsidR="00D71A21" w:rsidRPr="00D71A21" w:rsidRDefault="00D71A21" w:rsidP="00D71A21">
      <w:pPr>
        <w:jc w:val="center"/>
        <w:rPr>
          <w:rFonts w:ascii="Arial" w:hAnsi="Arial" w:cs="Arial"/>
          <w:b/>
          <w:sz w:val="22"/>
          <w:szCs w:val="22"/>
        </w:rPr>
      </w:pPr>
    </w:p>
    <w:p w:rsidR="000D6E82" w:rsidRPr="00D71A21" w:rsidRDefault="000D6E82" w:rsidP="00D71A21">
      <w:pPr>
        <w:rPr>
          <w:rFonts w:ascii="Arial" w:hAnsi="Arial" w:cs="Arial"/>
          <w:b/>
          <w:sz w:val="22"/>
          <w:szCs w:val="22"/>
        </w:rPr>
      </w:pPr>
      <w:proofErr w:type="spellStart"/>
      <w:r w:rsidRPr="00D71A21">
        <w:rPr>
          <w:rFonts w:ascii="Arial" w:hAnsi="Arial" w:cs="Arial"/>
          <w:b/>
          <w:sz w:val="22"/>
          <w:szCs w:val="22"/>
        </w:rPr>
        <w:t>Abog</w:t>
      </w:r>
      <w:proofErr w:type="spellEnd"/>
      <w:r w:rsidRPr="00D71A21">
        <w:rPr>
          <w:rFonts w:ascii="Arial" w:hAnsi="Arial" w:cs="Arial"/>
          <w:b/>
          <w:sz w:val="22"/>
          <w:szCs w:val="22"/>
        </w:rPr>
        <w:t>. María Dolores Fritz Sierra</w:t>
      </w:r>
    </w:p>
    <w:p w:rsidR="000D6E82" w:rsidRPr="00D71A21" w:rsidRDefault="000D6E82" w:rsidP="00D71A21">
      <w:pPr>
        <w:rPr>
          <w:rFonts w:ascii="Arial" w:eastAsia="Arial" w:hAnsi="Arial" w:cs="Arial"/>
          <w:b/>
          <w:sz w:val="22"/>
          <w:szCs w:val="22"/>
        </w:rPr>
      </w:pPr>
      <w:r w:rsidRPr="00D71A21">
        <w:rPr>
          <w:rFonts w:ascii="Arial" w:hAnsi="Arial" w:cs="Arial"/>
          <w:b/>
          <w:sz w:val="22"/>
          <w:szCs w:val="22"/>
        </w:rPr>
        <w:t>Secretaria general de Gobierno</w:t>
      </w:r>
    </w:p>
    <w:p w:rsidR="00D479C3" w:rsidRDefault="00D479C3" w:rsidP="00905CC7">
      <w:pPr>
        <w:tabs>
          <w:tab w:val="right" w:pos="8498"/>
        </w:tabs>
        <w:jc w:val="both"/>
        <w:rPr>
          <w:rFonts w:ascii="Arial" w:hAnsi="Arial" w:cs="Arial"/>
          <w:b/>
          <w:bCs/>
          <w:sz w:val="22"/>
          <w:szCs w:val="22"/>
          <w:lang w:val="es-MX"/>
        </w:rPr>
      </w:pPr>
    </w:p>
    <w:p w:rsidR="00D479C3" w:rsidRDefault="00D479C3" w:rsidP="00905CC7">
      <w:pPr>
        <w:tabs>
          <w:tab w:val="right" w:pos="8498"/>
        </w:tabs>
        <w:jc w:val="both"/>
        <w:rPr>
          <w:rFonts w:ascii="Arial" w:hAnsi="Arial" w:cs="Arial"/>
          <w:b/>
          <w:bCs/>
          <w:sz w:val="22"/>
          <w:szCs w:val="22"/>
          <w:lang w:val="es-MX"/>
        </w:rPr>
      </w:pPr>
    </w:p>
    <w:p w:rsidR="00D479C3" w:rsidRPr="005E6466" w:rsidRDefault="00D479C3" w:rsidP="00905CC7">
      <w:pPr>
        <w:tabs>
          <w:tab w:val="right" w:pos="8498"/>
        </w:tabs>
        <w:jc w:val="both"/>
        <w:rPr>
          <w:rFonts w:ascii="Arial" w:hAnsi="Arial" w:cs="Arial"/>
          <w:b/>
          <w:bCs/>
          <w:sz w:val="22"/>
          <w:szCs w:val="22"/>
          <w:lang w:val="es-MX"/>
        </w:rPr>
      </w:pPr>
    </w:p>
    <w:p w:rsidR="00AB0C80" w:rsidRDefault="00AB0C80" w:rsidP="00A13588">
      <w:pPr>
        <w:adjustRightInd w:val="0"/>
        <w:jc w:val="both"/>
        <w:rPr>
          <w:rFonts w:ascii="Arial" w:hAnsi="Arial" w:cs="Arial"/>
          <w:sz w:val="16"/>
          <w:szCs w:val="16"/>
          <w:lang w:val="es-MX"/>
        </w:rPr>
      </w:pPr>
    </w:p>
    <w:p w:rsidR="00B702B1" w:rsidRDefault="00B702B1" w:rsidP="00A13588">
      <w:pPr>
        <w:adjustRightInd w:val="0"/>
        <w:jc w:val="both"/>
        <w:rPr>
          <w:rFonts w:ascii="Arial" w:hAnsi="Arial" w:cs="Arial"/>
          <w:sz w:val="16"/>
          <w:szCs w:val="16"/>
          <w:lang w:val="es-MX"/>
        </w:rPr>
      </w:pPr>
    </w:p>
    <w:p w:rsidR="00B702B1" w:rsidRDefault="00B702B1" w:rsidP="00A13588">
      <w:pPr>
        <w:adjustRightInd w:val="0"/>
        <w:jc w:val="both"/>
        <w:rPr>
          <w:rFonts w:ascii="Arial" w:hAnsi="Arial" w:cs="Arial"/>
          <w:sz w:val="16"/>
          <w:szCs w:val="16"/>
          <w:lang w:val="es-MX"/>
        </w:rPr>
      </w:pPr>
    </w:p>
    <w:p w:rsidR="00B702B1" w:rsidRDefault="00B702B1" w:rsidP="00A13588">
      <w:pPr>
        <w:adjustRightInd w:val="0"/>
        <w:jc w:val="both"/>
        <w:rPr>
          <w:rFonts w:ascii="Arial" w:hAnsi="Arial" w:cs="Arial"/>
          <w:sz w:val="16"/>
          <w:szCs w:val="16"/>
          <w:lang w:val="es-MX"/>
        </w:rPr>
      </w:pPr>
    </w:p>
    <w:p w:rsidR="00B702B1" w:rsidRDefault="00B702B1" w:rsidP="00A13588">
      <w:pPr>
        <w:adjustRightInd w:val="0"/>
        <w:jc w:val="both"/>
        <w:rPr>
          <w:rFonts w:ascii="Arial" w:hAnsi="Arial" w:cs="Arial"/>
          <w:sz w:val="16"/>
          <w:szCs w:val="16"/>
          <w:lang w:val="es-MX"/>
        </w:rPr>
      </w:pPr>
    </w:p>
    <w:p w:rsidR="00B702B1" w:rsidRDefault="00B702B1" w:rsidP="00A13588">
      <w:pPr>
        <w:adjustRightInd w:val="0"/>
        <w:jc w:val="both"/>
        <w:rPr>
          <w:rFonts w:ascii="Arial" w:hAnsi="Arial" w:cs="Arial"/>
          <w:sz w:val="16"/>
          <w:szCs w:val="16"/>
          <w:lang w:val="es-MX"/>
        </w:rPr>
      </w:pPr>
    </w:p>
    <w:p w:rsidR="00B702B1" w:rsidRDefault="00B702B1" w:rsidP="00A13588">
      <w:pPr>
        <w:adjustRightInd w:val="0"/>
        <w:jc w:val="both"/>
        <w:rPr>
          <w:rFonts w:ascii="Arial" w:hAnsi="Arial" w:cs="Arial"/>
          <w:sz w:val="16"/>
          <w:szCs w:val="16"/>
          <w:lang w:val="es-MX"/>
        </w:rPr>
      </w:pPr>
    </w:p>
    <w:p w:rsidR="00B702B1" w:rsidRDefault="00B702B1" w:rsidP="00A13588">
      <w:pPr>
        <w:adjustRightInd w:val="0"/>
        <w:jc w:val="both"/>
        <w:rPr>
          <w:rFonts w:ascii="Arial" w:hAnsi="Arial" w:cs="Arial"/>
          <w:sz w:val="16"/>
          <w:szCs w:val="16"/>
          <w:lang w:val="es-MX"/>
        </w:rPr>
      </w:pPr>
    </w:p>
    <w:p w:rsidR="00B702B1" w:rsidRDefault="00B702B1" w:rsidP="00A13588">
      <w:pPr>
        <w:adjustRightInd w:val="0"/>
        <w:jc w:val="both"/>
        <w:rPr>
          <w:rFonts w:ascii="Arial" w:hAnsi="Arial" w:cs="Arial"/>
          <w:sz w:val="16"/>
          <w:szCs w:val="16"/>
          <w:lang w:val="es-MX"/>
        </w:rPr>
      </w:pPr>
    </w:p>
    <w:p w:rsidR="00B702B1" w:rsidRDefault="00B702B1" w:rsidP="00A13588">
      <w:pPr>
        <w:adjustRightInd w:val="0"/>
        <w:jc w:val="both"/>
        <w:rPr>
          <w:rFonts w:ascii="Arial" w:hAnsi="Arial" w:cs="Arial"/>
          <w:sz w:val="16"/>
          <w:szCs w:val="16"/>
          <w:lang w:val="es-MX"/>
        </w:rPr>
      </w:pPr>
    </w:p>
    <w:p w:rsidR="00B702B1" w:rsidRDefault="00B702B1" w:rsidP="00A13588">
      <w:pPr>
        <w:adjustRightInd w:val="0"/>
        <w:jc w:val="both"/>
        <w:rPr>
          <w:rFonts w:ascii="Arial" w:hAnsi="Arial" w:cs="Arial"/>
          <w:sz w:val="16"/>
          <w:szCs w:val="16"/>
          <w:lang w:val="es-MX"/>
        </w:rPr>
      </w:pPr>
    </w:p>
    <w:p w:rsidR="00B702B1" w:rsidRDefault="00B702B1" w:rsidP="00A13588">
      <w:pPr>
        <w:adjustRightInd w:val="0"/>
        <w:jc w:val="both"/>
        <w:rPr>
          <w:rFonts w:ascii="Arial" w:hAnsi="Arial" w:cs="Arial"/>
          <w:sz w:val="16"/>
          <w:szCs w:val="16"/>
          <w:lang w:val="es-MX"/>
        </w:rPr>
      </w:pPr>
    </w:p>
    <w:p w:rsidR="00B702B1" w:rsidRDefault="00B702B1" w:rsidP="00A13588">
      <w:pPr>
        <w:adjustRightInd w:val="0"/>
        <w:jc w:val="both"/>
        <w:rPr>
          <w:rFonts w:ascii="Arial" w:hAnsi="Arial" w:cs="Arial"/>
          <w:sz w:val="16"/>
          <w:szCs w:val="16"/>
          <w:lang w:val="es-MX"/>
        </w:rPr>
      </w:pPr>
    </w:p>
    <w:p w:rsidR="00B702B1" w:rsidRDefault="00B702B1" w:rsidP="00A13588">
      <w:pPr>
        <w:adjustRightInd w:val="0"/>
        <w:jc w:val="both"/>
        <w:rPr>
          <w:rFonts w:ascii="Arial" w:hAnsi="Arial" w:cs="Arial"/>
          <w:sz w:val="16"/>
          <w:szCs w:val="16"/>
          <w:lang w:val="es-MX"/>
        </w:rPr>
      </w:pPr>
    </w:p>
    <w:p w:rsidR="00B702B1" w:rsidRPr="000D4E03" w:rsidRDefault="00B702B1" w:rsidP="00B702B1">
      <w:pPr>
        <w:ind w:right="261"/>
        <w:jc w:val="center"/>
        <w:rPr>
          <w:rFonts w:ascii="Arial" w:hAnsi="Arial" w:cs="Arial"/>
          <w:b/>
          <w:bCs/>
        </w:rPr>
      </w:pPr>
      <w:r w:rsidRPr="000D4E03">
        <w:rPr>
          <w:rFonts w:ascii="Arial" w:hAnsi="Arial" w:cs="Arial"/>
          <w:b/>
          <w:bCs/>
        </w:rPr>
        <w:t>APÉNDICE</w:t>
      </w:r>
    </w:p>
    <w:p w:rsidR="00B702B1" w:rsidRPr="000D4E03" w:rsidRDefault="00B702B1" w:rsidP="00B702B1">
      <w:pPr>
        <w:ind w:left="284" w:right="261"/>
        <w:jc w:val="center"/>
        <w:rPr>
          <w:rFonts w:ascii="Arial" w:hAnsi="Arial" w:cs="Arial"/>
          <w:b/>
          <w:bCs/>
        </w:rPr>
      </w:pPr>
    </w:p>
    <w:p w:rsidR="00B702B1" w:rsidRPr="000D4E03" w:rsidRDefault="00B702B1" w:rsidP="00B702B1">
      <w:pPr>
        <w:ind w:left="284" w:right="261"/>
        <w:jc w:val="both"/>
        <w:rPr>
          <w:rFonts w:ascii="Arial" w:hAnsi="Arial" w:cs="Arial"/>
          <w:b/>
          <w:bCs/>
        </w:rPr>
      </w:pPr>
      <w:r w:rsidRPr="000D4E03">
        <w:rPr>
          <w:rFonts w:ascii="Arial" w:hAnsi="Arial" w:cs="Arial"/>
          <w:b/>
          <w:bCs/>
        </w:rPr>
        <w:t xml:space="preserve">Listado de los decretos que derogaron, adicionaron o reformaron diversos artículos de la Ley de </w:t>
      </w:r>
      <w:r>
        <w:rPr>
          <w:rFonts w:ascii="Arial" w:hAnsi="Arial" w:cs="Arial"/>
          <w:b/>
          <w:bCs/>
        </w:rPr>
        <w:t xml:space="preserve">Ingresos </w:t>
      </w:r>
      <w:r w:rsidRPr="000D4E03">
        <w:rPr>
          <w:rFonts w:ascii="Arial" w:hAnsi="Arial" w:cs="Arial"/>
          <w:b/>
          <w:bCs/>
        </w:rPr>
        <w:t>del Estado de Yucatán</w:t>
      </w:r>
      <w:r>
        <w:rPr>
          <w:rFonts w:ascii="Arial" w:hAnsi="Arial" w:cs="Arial"/>
          <w:b/>
          <w:bCs/>
        </w:rPr>
        <w:t>, para el Ejercicio Fiscal 2022</w:t>
      </w:r>
      <w:r w:rsidRPr="000D4E03">
        <w:rPr>
          <w:rFonts w:ascii="Arial" w:hAnsi="Arial" w:cs="Arial"/>
          <w:b/>
          <w:bCs/>
        </w:rPr>
        <w:t>.</w:t>
      </w:r>
    </w:p>
    <w:p w:rsidR="00B702B1" w:rsidRPr="000D4E03" w:rsidRDefault="00B702B1" w:rsidP="00B702B1">
      <w:pPr>
        <w:ind w:left="284" w:right="261"/>
        <w:jc w:val="both"/>
        <w:rPr>
          <w:rFonts w:ascii="Arial" w:hAnsi="Arial" w:cs="Arial"/>
          <w:b/>
          <w:bCs/>
        </w:rPr>
      </w:pPr>
    </w:p>
    <w:tbl>
      <w:tblPr>
        <w:tblW w:w="8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5"/>
        <w:gridCol w:w="1292"/>
        <w:gridCol w:w="3248"/>
      </w:tblGrid>
      <w:tr w:rsidR="00B702B1" w:rsidRPr="006267C6" w:rsidTr="007E5008">
        <w:trPr>
          <w:tblHeader/>
          <w:jc w:val="center"/>
        </w:trPr>
        <w:tc>
          <w:tcPr>
            <w:tcW w:w="3925" w:type="dxa"/>
            <w:shd w:val="clear" w:color="auto" w:fill="E0E0E0"/>
          </w:tcPr>
          <w:p w:rsidR="00B702B1" w:rsidRPr="006267C6" w:rsidRDefault="00B702B1" w:rsidP="006267C6">
            <w:pPr>
              <w:overflowPunct w:val="0"/>
              <w:ind w:right="-143"/>
              <w:jc w:val="center"/>
              <w:textAlignment w:val="baseline"/>
              <w:rPr>
                <w:rFonts w:ascii="Arial" w:hAnsi="Arial" w:cs="Arial"/>
                <w:b/>
                <w:bCs/>
                <w:sz w:val="22"/>
                <w:szCs w:val="22"/>
              </w:rPr>
            </w:pPr>
          </w:p>
        </w:tc>
        <w:tc>
          <w:tcPr>
            <w:tcW w:w="1292" w:type="dxa"/>
            <w:shd w:val="clear" w:color="auto" w:fill="E0E0E0"/>
          </w:tcPr>
          <w:p w:rsidR="00B702B1" w:rsidRPr="006267C6" w:rsidRDefault="00B702B1" w:rsidP="006267C6">
            <w:pPr>
              <w:overflowPunct w:val="0"/>
              <w:jc w:val="center"/>
              <w:textAlignment w:val="baseline"/>
              <w:rPr>
                <w:rFonts w:ascii="Arial" w:hAnsi="Arial" w:cs="Arial"/>
                <w:b/>
                <w:bCs/>
                <w:sz w:val="22"/>
                <w:szCs w:val="22"/>
              </w:rPr>
            </w:pPr>
          </w:p>
          <w:p w:rsidR="00B702B1" w:rsidRPr="006267C6" w:rsidRDefault="00B702B1" w:rsidP="006267C6">
            <w:pPr>
              <w:overflowPunct w:val="0"/>
              <w:jc w:val="center"/>
              <w:textAlignment w:val="baseline"/>
              <w:rPr>
                <w:rFonts w:ascii="Arial" w:hAnsi="Arial" w:cs="Arial"/>
                <w:b/>
                <w:bCs/>
                <w:sz w:val="22"/>
                <w:szCs w:val="22"/>
              </w:rPr>
            </w:pPr>
            <w:r w:rsidRPr="006267C6">
              <w:rPr>
                <w:rFonts w:ascii="Arial" w:hAnsi="Arial" w:cs="Arial"/>
                <w:b/>
                <w:bCs/>
                <w:sz w:val="22"/>
                <w:szCs w:val="22"/>
              </w:rPr>
              <w:t>DECRETO</w:t>
            </w:r>
          </w:p>
        </w:tc>
        <w:tc>
          <w:tcPr>
            <w:tcW w:w="3248" w:type="dxa"/>
            <w:shd w:val="clear" w:color="auto" w:fill="E0E0E0"/>
          </w:tcPr>
          <w:p w:rsidR="00B702B1" w:rsidRPr="006267C6" w:rsidRDefault="00B702B1" w:rsidP="006267C6">
            <w:pPr>
              <w:overflowPunct w:val="0"/>
              <w:jc w:val="both"/>
              <w:textAlignment w:val="baseline"/>
              <w:rPr>
                <w:rFonts w:ascii="Arial" w:hAnsi="Arial" w:cs="Arial"/>
                <w:b/>
                <w:bCs/>
                <w:sz w:val="22"/>
                <w:szCs w:val="22"/>
              </w:rPr>
            </w:pPr>
            <w:r w:rsidRPr="006267C6">
              <w:rPr>
                <w:rFonts w:ascii="Arial" w:hAnsi="Arial" w:cs="Arial"/>
                <w:b/>
                <w:bCs/>
                <w:sz w:val="22"/>
                <w:szCs w:val="22"/>
              </w:rPr>
              <w:t>FECHA DE PUBLICACIÓN EN EL DIARIO OFICIAL  DEL ESTADO DE YUCATÁN</w:t>
            </w:r>
          </w:p>
        </w:tc>
      </w:tr>
      <w:tr w:rsidR="00B702B1" w:rsidRPr="006267C6" w:rsidTr="007E5008">
        <w:trPr>
          <w:jc w:val="center"/>
        </w:trPr>
        <w:tc>
          <w:tcPr>
            <w:tcW w:w="3925" w:type="dxa"/>
          </w:tcPr>
          <w:p w:rsidR="006267C6" w:rsidRPr="006267C6" w:rsidRDefault="00E069D9" w:rsidP="006267C6">
            <w:pPr>
              <w:overflowPunct w:val="0"/>
              <w:jc w:val="both"/>
              <w:textAlignment w:val="baseline"/>
              <w:rPr>
                <w:rFonts w:ascii="Arial" w:hAnsi="Arial" w:cs="Arial"/>
                <w:bCs/>
                <w:sz w:val="22"/>
                <w:szCs w:val="22"/>
              </w:rPr>
            </w:pPr>
            <w:r w:rsidRPr="006267C6">
              <w:rPr>
                <w:rFonts w:ascii="Arial" w:hAnsi="Arial" w:cs="Arial"/>
                <w:bCs/>
                <w:sz w:val="22"/>
                <w:szCs w:val="22"/>
              </w:rPr>
              <w:t xml:space="preserve">Ley de </w:t>
            </w:r>
            <w:r w:rsidRPr="006267C6">
              <w:rPr>
                <w:rFonts w:ascii="Arial" w:hAnsi="Arial" w:cs="Arial"/>
                <w:bCs/>
                <w:sz w:val="22"/>
                <w:szCs w:val="22"/>
              </w:rPr>
              <w:t xml:space="preserve">Ingresos </w:t>
            </w:r>
            <w:r w:rsidRPr="006267C6">
              <w:rPr>
                <w:rFonts w:ascii="Arial" w:hAnsi="Arial" w:cs="Arial"/>
                <w:bCs/>
                <w:sz w:val="22"/>
                <w:szCs w:val="22"/>
              </w:rPr>
              <w:t>del Estado de Yucatán</w:t>
            </w:r>
            <w:r w:rsidRPr="006267C6">
              <w:rPr>
                <w:rFonts w:ascii="Arial" w:hAnsi="Arial" w:cs="Arial"/>
                <w:bCs/>
                <w:sz w:val="22"/>
                <w:szCs w:val="22"/>
              </w:rPr>
              <w:t>, para el Ejercicio Fiscal 2022</w:t>
            </w:r>
            <w:r w:rsidRPr="006267C6">
              <w:rPr>
                <w:rFonts w:ascii="Arial" w:hAnsi="Arial" w:cs="Arial"/>
                <w:bCs/>
                <w:sz w:val="22"/>
                <w:szCs w:val="22"/>
              </w:rPr>
              <w:t>.</w:t>
            </w:r>
          </w:p>
        </w:tc>
        <w:tc>
          <w:tcPr>
            <w:tcW w:w="1292" w:type="dxa"/>
          </w:tcPr>
          <w:p w:rsidR="006267C6" w:rsidRDefault="006267C6" w:rsidP="006267C6">
            <w:pPr>
              <w:overflowPunct w:val="0"/>
              <w:jc w:val="center"/>
              <w:textAlignment w:val="baseline"/>
              <w:rPr>
                <w:rFonts w:ascii="Arial" w:hAnsi="Arial" w:cs="Arial"/>
                <w:b/>
                <w:bCs/>
                <w:sz w:val="22"/>
                <w:szCs w:val="22"/>
              </w:rPr>
            </w:pPr>
          </w:p>
          <w:p w:rsidR="00B702B1" w:rsidRPr="006267C6" w:rsidRDefault="00B702B1" w:rsidP="006267C6">
            <w:pPr>
              <w:overflowPunct w:val="0"/>
              <w:jc w:val="center"/>
              <w:textAlignment w:val="baseline"/>
              <w:rPr>
                <w:rFonts w:ascii="Arial" w:hAnsi="Arial" w:cs="Arial"/>
                <w:b/>
                <w:bCs/>
                <w:sz w:val="22"/>
                <w:szCs w:val="22"/>
              </w:rPr>
            </w:pPr>
            <w:r w:rsidRPr="006267C6">
              <w:rPr>
                <w:rFonts w:ascii="Arial" w:hAnsi="Arial" w:cs="Arial"/>
                <w:b/>
                <w:bCs/>
                <w:sz w:val="22"/>
                <w:szCs w:val="22"/>
              </w:rPr>
              <w:t>4</w:t>
            </w:r>
            <w:r w:rsidR="006267C6" w:rsidRPr="006267C6">
              <w:rPr>
                <w:rFonts w:ascii="Arial" w:hAnsi="Arial" w:cs="Arial"/>
                <w:b/>
                <w:bCs/>
                <w:sz w:val="22"/>
                <w:szCs w:val="22"/>
              </w:rPr>
              <w:t>40</w:t>
            </w:r>
          </w:p>
        </w:tc>
        <w:tc>
          <w:tcPr>
            <w:tcW w:w="3248" w:type="dxa"/>
          </w:tcPr>
          <w:p w:rsidR="006267C6" w:rsidRDefault="006267C6" w:rsidP="006267C6">
            <w:pPr>
              <w:overflowPunct w:val="0"/>
              <w:jc w:val="center"/>
              <w:textAlignment w:val="baseline"/>
              <w:rPr>
                <w:rFonts w:ascii="Arial" w:hAnsi="Arial" w:cs="Arial"/>
                <w:b/>
                <w:bCs/>
                <w:sz w:val="22"/>
                <w:szCs w:val="22"/>
              </w:rPr>
            </w:pPr>
          </w:p>
          <w:p w:rsidR="00B702B1" w:rsidRPr="006267C6" w:rsidRDefault="00F67209" w:rsidP="006267C6">
            <w:pPr>
              <w:overflowPunct w:val="0"/>
              <w:jc w:val="center"/>
              <w:textAlignment w:val="baseline"/>
              <w:rPr>
                <w:rFonts w:ascii="Arial" w:hAnsi="Arial" w:cs="Arial"/>
                <w:b/>
                <w:bCs/>
                <w:sz w:val="22"/>
                <w:szCs w:val="22"/>
              </w:rPr>
            </w:pPr>
            <w:r w:rsidRPr="006267C6">
              <w:rPr>
                <w:rFonts w:ascii="Arial" w:hAnsi="Arial" w:cs="Arial"/>
                <w:b/>
                <w:bCs/>
                <w:sz w:val="22"/>
                <w:szCs w:val="22"/>
              </w:rPr>
              <w:t>30</w:t>
            </w:r>
            <w:r w:rsidR="00B702B1" w:rsidRPr="006267C6">
              <w:rPr>
                <w:rFonts w:ascii="Arial" w:hAnsi="Arial" w:cs="Arial"/>
                <w:b/>
                <w:bCs/>
                <w:sz w:val="22"/>
                <w:szCs w:val="22"/>
              </w:rPr>
              <w:t>/</w:t>
            </w:r>
            <w:r w:rsidRPr="006267C6">
              <w:rPr>
                <w:rFonts w:ascii="Arial" w:hAnsi="Arial" w:cs="Arial"/>
                <w:b/>
                <w:bCs/>
                <w:sz w:val="22"/>
                <w:szCs w:val="22"/>
              </w:rPr>
              <w:t>XII</w:t>
            </w:r>
            <w:r w:rsidR="00B702B1" w:rsidRPr="006267C6">
              <w:rPr>
                <w:rFonts w:ascii="Arial" w:hAnsi="Arial" w:cs="Arial"/>
                <w:b/>
                <w:bCs/>
                <w:sz w:val="22"/>
                <w:szCs w:val="22"/>
              </w:rPr>
              <w:t>/</w:t>
            </w:r>
            <w:r w:rsidRPr="006267C6">
              <w:rPr>
                <w:rFonts w:ascii="Arial" w:hAnsi="Arial" w:cs="Arial"/>
                <w:b/>
                <w:bCs/>
                <w:sz w:val="22"/>
                <w:szCs w:val="22"/>
              </w:rPr>
              <w:t>2021</w:t>
            </w:r>
          </w:p>
        </w:tc>
      </w:tr>
      <w:tr w:rsidR="00B702B1" w:rsidRPr="006267C6" w:rsidTr="00D763DA">
        <w:trPr>
          <w:trHeight w:val="980"/>
          <w:jc w:val="center"/>
        </w:trPr>
        <w:tc>
          <w:tcPr>
            <w:tcW w:w="3925" w:type="dxa"/>
          </w:tcPr>
          <w:p w:rsidR="00B702B1" w:rsidRPr="006267C6" w:rsidRDefault="00D763DA" w:rsidP="006267C6">
            <w:pPr>
              <w:overflowPunct w:val="0"/>
              <w:ind w:right="-2"/>
              <w:jc w:val="both"/>
              <w:textAlignment w:val="baseline"/>
              <w:rPr>
                <w:rFonts w:ascii="Arial" w:hAnsi="Arial" w:cs="Arial"/>
                <w:sz w:val="22"/>
                <w:szCs w:val="22"/>
              </w:rPr>
            </w:pPr>
            <w:r w:rsidRPr="006267C6">
              <w:rPr>
                <w:rFonts w:ascii="Arial" w:hAnsi="Arial" w:cs="Arial"/>
                <w:sz w:val="22"/>
                <w:szCs w:val="22"/>
              </w:rPr>
              <w:t>Se reforman: el total y el numeral 0 de la tabla del artículo 2 de la Ley de Ingresos del Estado de Yucatán para el Ejercicio Fiscal 2022</w:t>
            </w:r>
            <w:r w:rsidRPr="006267C6">
              <w:rPr>
                <w:rFonts w:ascii="Arial" w:hAnsi="Arial" w:cs="Arial"/>
                <w:sz w:val="22"/>
                <w:szCs w:val="22"/>
              </w:rPr>
              <w:t>.</w:t>
            </w:r>
          </w:p>
        </w:tc>
        <w:tc>
          <w:tcPr>
            <w:tcW w:w="1292" w:type="dxa"/>
          </w:tcPr>
          <w:p w:rsidR="00B702B1" w:rsidRPr="006267C6" w:rsidRDefault="00B702B1" w:rsidP="006267C6">
            <w:pPr>
              <w:overflowPunct w:val="0"/>
              <w:jc w:val="center"/>
              <w:textAlignment w:val="baseline"/>
              <w:rPr>
                <w:rFonts w:ascii="Arial" w:hAnsi="Arial" w:cs="Arial"/>
                <w:b/>
                <w:bCs/>
                <w:sz w:val="22"/>
                <w:szCs w:val="22"/>
              </w:rPr>
            </w:pPr>
          </w:p>
          <w:p w:rsidR="00B702B1" w:rsidRPr="006267C6" w:rsidRDefault="00B702B1" w:rsidP="006267C6">
            <w:pPr>
              <w:overflowPunct w:val="0"/>
              <w:jc w:val="center"/>
              <w:textAlignment w:val="baseline"/>
              <w:rPr>
                <w:rFonts w:ascii="Arial" w:hAnsi="Arial" w:cs="Arial"/>
                <w:b/>
                <w:bCs/>
                <w:sz w:val="22"/>
                <w:szCs w:val="22"/>
              </w:rPr>
            </w:pPr>
          </w:p>
          <w:p w:rsidR="006267C6" w:rsidRDefault="006267C6" w:rsidP="006267C6">
            <w:pPr>
              <w:overflowPunct w:val="0"/>
              <w:jc w:val="center"/>
              <w:textAlignment w:val="baseline"/>
              <w:rPr>
                <w:rFonts w:ascii="Arial" w:hAnsi="Arial" w:cs="Arial"/>
                <w:b/>
                <w:bCs/>
                <w:sz w:val="22"/>
                <w:szCs w:val="22"/>
              </w:rPr>
            </w:pPr>
          </w:p>
          <w:p w:rsidR="00B702B1" w:rsidRPr="006267C6" w:rsidRDefault="004C186F" w:rsidP="006267C6">
            <w:pPr>
              <w:overflowPunct w:val="0"/>
              <w:jc w:val="center"/>
              <w:textAlignment w:val="baseline"/>
              <w:rPr>
                <w:rFonts w:ascii="Arial" w:hAnsi="Arial" w:cs="Arial"/>
                <w:b/>
                <w:bCs/>
                <w:sz w:val="22"/>
                <w:szCs w:val="22"/>
              </w:rPr>
            </w:pPr>
            <w:r w:rsidRPr="006267C6">
              <w:rPr>
                <w:rFonts w:ascii="Arial" w:hAnsi="Arial" w:cs="Arial"/>
                <w:b/>
                <w:bCs/>
                <w:sz w:val="22"/>
                <w:szCs w:val="22"/>
              </w:rPr>
              <w:t>526</w:t>
            </w:r>
          </w:p>
        </w:tc>
        <w:tc>
          <w:tcPr>
            <w:tcW w:w="3248" w:type="dxa"/>
          </w:tcPr>
          <w:p w:rsidR="00B702B1" w:rsidRPr="006267C6" w:rsidRDefault="00B702B1" w:rsidP="006267C6">
            <w:pPr>
              <w:overflowPunct w:val="0"/>
              <w:jc w:val="center"/>
              <w:textAlignment w:val="baseline"/>
              <w:rPr>
                <w:rFonts w:ascii="Arial" w:hAnsi="Arial" w:cs="Arial"/>
                <w:b/>
                <w:bCs/>
                <w:sz w:val="22"/>
                <w:szCs w:val="22"/>
              </w:rPr>
            </w:pPr>
          </w:p>
          <w:p w:rsidR="00B702B1" w:rsidRPr="006267C6" w:rsidRDefault="00B702B1" w:rsidP="006267C6">
            <w:pPr>
              <w:overflowPunct w:val="0"/>
              <w:jc w:val="center"/>
              <w:textAlignment w:val="baseline"/>
              <w:rPr>
                <w:rFonts w:ascii="Arial" w:hAnsi="Arial" w:cs="Arial"/>
                <w:b/>
                <w:bCs/>
                <w:sz w:val="22"/>
                <w:szCs w:val="22"/>
              </w:rPr>
            </w:pPr>
          </w:p>
          <w:p w:rsidR="006267C6" w:rsidRDefault="006267C6" w:rsidP="006267C6">
            <w:pPr>
              <w:overflowPunct w:val="0"/>
              <w:jc w:val="center"/>
              <w:textAlignment w:val="baseline"/>
              <w:rPr>
                <w:rFonts w:ascii="Arial" w:hAnsi="Arial" w:cs="Arial"/>
                <w:b/>
                <w:bCs/>
                <w:sz w:val="22"/>
                <w:szCs w:val="22"/>
              </w:rPr>
            </w:pPr>
          </w:p>
          <w:p w:rsidR="00B702B1" w:rsidRPr="006267C6" w:rsidRDefault="004C186F" w:rsidP="006267C6">
            <w:pPr>
              <w:overflowPunct w:val="0"/>
              <w:jc w:val="center"/>
              <w:textAlignment w:val="baseline"/>
              <w:rPr>
                <w:rFonts w:ascii="Arial" w:hAnsi="Arial" w:cs="Arial"/>
                <w:b/>
                <w:bCs/>
                <w:sz w:val="22"/>
                <w:szCs w:val="22"/>
              </w:rPr>
            </w:pPr>
            <w:r w:rsidRPr="006267C6">
              <w:rPr>
                <w:rFonts w:ascii="Arial" w:hAnsi="Arial" w:cs="Arial"/>
                <w:b/>
                <w:bCs/>
                <w:sz w:val="22"/>
                <w:szCs w:val="22"/>
              </w:rPr>
              <w:t>30</w:t>
            </w:r>
            <w:r w:rsidR="00B702B1" w:rsidRPr="006267C6">
              <w:rPr>
                <w:rFonts w:ascii="Arial" w:hAnsi="Arial" w:cs="Arial"/>
                <w:b/>
                <w:bCs/>
                <w:sz w:val="22"/>
                <w:szCs w:val="22"/>
              </w:rPr>
              <w:t>/</w:t>
            </w:r>
            <w:r w:rsidRPr="006267C6">
              <w:rPr>
                <w:rFonts w:ascii="Arial" w:hAnsi="Arial" w:cs="Arial"/>
                <w:b/>
                <w:bCs/>
                <w:sz w:val="22"/>
                <w:szCs w:val="22"/>
              </w:rPr>
              <w:t>V</w:t>
            </w:r>
            <w:r w:rsidR="00B702B1" w:rsidRPr="006267C6">
              <w:rPr>
                <w:rFonts w:ascii="Arial" w:hAnsi="Arial" w:cs="Arial"/>
                <w:b/>
                <w:bCs/>
                <w:sz w:val="22"/>
                <w:szCs w:val="22"/>
              </w:rPr>
              <w:t>I/20</w:t>
            </w:r>
            <w:r w:rsidRPr="006267C6">
              <w:rPr>
                <w:rFonts w:ascii="Arial" w:hAnsi="Arial" w:cs="Arial"/>
                <w:b/>
                <w:bCs/>
                <w:sz w:val="22"/>
                <w:szCs w:val="22"/>
              </w:rPr>
              <w:t>22</w:t>
            </w:r>
          </w:p>
        </w:tc>
      </w:tr>
    </w:tbl>
    <w:p w:rsidR="00B702B1" w:rsidRPr="005E6466" w:rsidRDefault="00B702B1" w:rsidP="00A13588">
      <w:pPr>
        <w:adjustRightInd w:val="0"/>
        <w:jc w:val="both"/>
        <w:rPr>
          <w:rFonts w:ascii="Arial" w:hAnsi="Arial" w:cs="Arial"/>
          <w:sz w:val="16"/>
          <w:szCs w:val="16"/>
          <w:lang w:val="es-MX"/>
        </w:rPr>
        <w:sectPr w:rsidR="00B702B1" w:rsidRPr="005E6466" w:rsidSect="00E37EAF">
          <w:headerReference w:type="default" r:id="rId11"/>
          <w:footerReference w:type="even" r:id="rId12"/>
          <w:footerReference w:type="default" r:id="rId13"/>
          <w:pgSz w:w="12242" w:h="15842" w:code="1"/>
          <w:pgMar w:top="2694" w:right="1610" w:bottom="1417" w:left="2268" w:header="709" w:footer="905" w:gutter="0"/>
          <w:cols w:space="708"/>
          <w:titlePg/>
          <w:docGrid w:linePitch="360"/>
        </w:sectPr>
      </w:pPr>
    </w:p>
    <w:p w:rsidR="0082297D" w:rsidRPr="0016359A" w:rsidRDefault="0082297D" w:rsidP="0082297D">
      <w:pPr>
        <w:jc w:val="center"/>
        <w:rPr>
          <w:rFonts w:ascii="Arial" w:hAnsi="Arial" w:cs="Arial"/>
          <w:b/>
          <w:sz w:val="22"/>
          <w:szCs w:val="22"/>
        </w:rPr>
      </w:pPr>
      <w:r w:rsidRPr="0016359A">
        <w:rPr>
          <w:rFonts w:ascii="Arial" w:hAnsi="Arial" w:cs="Arial"/>
          <w:b/>
          <w:sz w:val="22"/>
          <w:szCs w:val="22"/>
        </w:rPr>
        <w:lastRenderedPageBreak/>
        <w:t>Anexo I</w:t>
      </w:r>
      <w:r w:rsidRPr="0016359A">
        <w:rPr>
          <w:rFonts w:ascii="Arial" w:hAnsi="Arial" w:cs="Arial"/>
          <w:b/>
          <w:sz w:val="22"/>
          <w:szCs w:val="22"/>
        </w:rPr>
        <w:br/>
        <w:t>Proyecciones de ingresos a cinco años</w:t>
      </w:r>
    </w:p>
    <w:tbl>
      <w:tblPr>
        <w:tblW w:w="5000" w:type="pct"/>
        <w:jc w:val="center"/>
        <w:tblCellMar>
          <w:left w:w="70" w:type="dxa"/>
          <w:right w:w="70" w:type="dxa"/>
        </w:tblCellMar>
        <w:tblLook w:val="04A0" w:firstRow="1" w:lastRow="0" w:firstColumn="1" w:lastColumn="0" w:noHBand="0" w:noVBand="1"/>
      </w:tblPr>
      <w:tblGrid>
        <w:gridCol w:w="4337"/>
        <w:gridCol w:w="1675"/>
        <w:gridCol w:w="1675"/>
        <w:gridCol w:w="1675"/>
        <w:gridCol w:w="1675"/>
        <w:gridCol w:w="1675"/>
        <w:gridCol w:w="1678"/>
      </w:tblGrid>
      <w:tr w:rsidR="0082297D" w:rsidRPr="00AA30C3" w:rsidTr="0016359A">
        <w:trPr>
          <w:trHeight w:val="506"/>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D9D9D9"/>
            <w:vAlign w:val="center"/>
            <w:hideMark/>
          </w:tcPr>
          <w:p w:rsidR="0082297D" w:rsidRPr="00AA30C3" w:rsidRDefault="0082297D" w:rsidP="0082297D">
            <w:pPr>
              <w:jc w:val="center"/>
              <w:rPr>
                <w:rFonts w:ascii="Barlow" w:hAnsi="Barlow"/>
                <w:b/>
                <w:bCs/>
                <w:color w:val="000000"/>
                <w:sz w:val="12"/>
                <w:szCs w:val="12"/>
              </w:rPr>
            </w:pPr>
            <w:r w:rsidRPr="00AA30C3">
              <w:rPr>
                <w:rFonts w:ascii="Barlow" w:hAnsi="Barlow"/>
                <w:b/>
                <w:bCs/>
                <w:color w:val="000000"/>
                <w:sz w:val="12"/>
                <w:szCs w:val="12"/>
              </w:rPr>
              <w:t>Yucatán</w:t>
            </w:r>
            <w:r w:rsidRPr="00AA30C3">
              <w:rPr>
                <w:rFonts w:ascii="Barlow" w:hAnsi="Barlow"/>
                <w:b/>
                <w:bCs/>
                <w:color w:val="000000"/>
                <w:sz w:val="12"/>
                <w:szCs w:val="12"/>
              </w:rPr>
              <w:br/>
              <w:t>Proyecciones de Ingresos - LDF</w:t>
            </w:r>
            <w:r w:rsidRPr="00AA30C3">
              <w:rPr>
                <w:rFonts w:ascii="Barlow" w:hAnsi="Barlow"/>
                <w:b/>
                <w:bCs/>
                <w:color w:val="000000"/>
                <w:sz w:val="12"/>
                <w:szCs w:val="12"/>
              </w:rPr>
              <w:br/>
              <w:t>(Pesos)</w:t>
            </w:r>
            <w:r w:rsidRPr="00AA30C3">
              <w:rPr>
                <w:rFonts w:ascii="Barlow" w:hAnsi="Barlow"/>
                <w:b/>
                <w:bCs/>
                <w:color w:val="000000"/>
                <w:sz w:val="12"/>
                <w:szCs w:val="12"/>
              </w:rPr>
              <w:br/>
              <w:t>(Cifras Nominales)</w:t>
            </w:r>
          </w:p>
        </w:tc>
      </w:tr>
      <w:tr w:rsidR="0082297D" w:rsidRPr="00AA30C3" w:rsidTr="0016359A">
        <w:trPr>
          <w:trHeight w:val="240"/>
          <w:jc w:val="center"/>
        </w:trPr>
        <w:tc>
          <w:tcPr>
            <w:tcW w:w="1507" w:type="pct"/>
            <w:tcBorders>
              <w:top w:val="nil"/>
              <w:left w:val="single" w:sz="4" w:space="0" w:color="auto"/>
              <w:bottom w:val="single" w:sz="4" w:space="0" w:color="auto"/>
              <w:right w:val="nil"/>
            </w:tcBorders>
            <w:shd w:val="clear" w:color="000000" w:fill="D9D9D9"/>
            <w:vAlign w:val="bottom"/>
            <w:hideMark/>
          </w:tcPr>
          <w:p w:rsidR="0082297D" w:rsidRPr="00AA30C3" w:rsidRDefault="0082297D" w:rsidP="0082297D">
            <w:pPr>
              <w:jc w:val="center"/>
              <w:rPr>
                <w:rFonts w:ascii="Barlow" w:hAnsi="Barlow"/>
                <w:b/>
                <w:bCs/>
                <w:color w:val="000000"/>
                <w:sz w:val="12"/>
                <w:szCs w:val="12"/>
              </w:rPr>
            </w:pPr>
            <w:r w:rsidRPr="00AA30C3">
              <w:rPr>
                <w:rFonts w:ascii="Barlow" w:hAnsi="Barlow"/>
                <w:b/>
                <w:bCs/>
                <w:color w:val="000000"/>
                <w:sz w:val="12"/>
                <w:szCs w:val="12"/>
              </w:rPr>
              <w:t>Concepto</w:t>
            </w:r>
          </w:p>
        </w:tc>
        <w:tc>
          <w:tcPr>
            <w:tcW w:w="582" w:type="pct"/>
            <w:tcBorders>
              <w:top w:val="nil"/>
              <w:left w:val="single" w:sz="4" w:space="0" w:color="auto"/>
              <w:bottom w:val="single" w:sz="4" w:space="0" w:color="auto"/>
              <w:right w:val="single" w:sz="4" w:space="0" w:color="auto"/>
            </w:tcBorders>
            <w:shd w:val="clear" w:color="000000" w:fill="D9D9D9"/>
            <w:vAlign w:val="bottom"/>
            <w:hideMark/>
          </w:tcPr>
          <w:p w:rsidR="0082297D" w:rsidRPr="00AA30C3" w:rsidRDefault="0082297D" w:rsidP="0082297D">
            <w:pPr>
              <w:jc w:val="center"/>
              <w:rPr>
                <w:rFonts w:ascii="Barlow" w:hAnsi="Barlow"/>
                <w:b/>
                <w:bCs/>
                <w:color w:val="000000"/>
                <w:sz w:val="12"/>
                <w:szCs w:val="12"/>
              </w:rPr>
            </w:pPr>
            <w:r w:rsidRPr="00AA30C3">
              <w:rPr>
                <w:rFonts w:ascii="Barlow" w:hAnsi="Barlow"/>
                <w:b/>
                <w:bCs/>
                <w:color w:val="000000"/>
                <w:sz w:val="12"/>
                <w:szCs w:val="12"/>
              </w:rPr>
              <w:t>2022</w:t>
            </w:r>
          </w:p>
        </w:tc>
        <w:tc>
          <w:tcPr>
            <w:tcW w:w="582" w:type="pct"/>
            <w:tcBorders>
              <w:top w:val="nil"/>
              <w:left w:val="nil"/>
              <w:bottom w:val="single" w:sz="4" w:space="0" w:color="auto"/>
              <w:right w:val="single" w:sz="4" w:space="0" w:color="auto"/>
            </w:tcBorders>
            <w:shd w:val="clear" w:color="000000" w:fill="D9D9D9"/>
            <w:vAlign w:val="bottom"/>
            <w:hideMark/>
          </w:tcPr>
          <w:p w:rsidR="0082297D" w:rsidRPr="00AA30C3" w:rsidRDefault="0082297D" w:rsidP="0082297D">
            <w:pPr>
              <w:jc w:val="center"/>
              <w:rPr>
                <w:rFonts w:ascii="Barlow" w:hAnsi="Barlow"/>
                <w:b/>
                <w:bCs/>
                <w:color w:val="000000"/>
                <w:sz w:val="12"/>
                <w:szCs w:val="12"/>
              </w:rPr>
            </w:pPr>
            <w:r w:rsidRPr="00AA30C3">
              <w:rPr>
                <w:rFonts w:ascii="Barlow" w:hAnsi="Barlow"/>
                <w:b/>
                <w:bCs/>
                <w:color w:val="000000"/>
                <w:sz w:val="12"/>
                <w:szCs w:val="12"/>
              </w:rPr>
              <w:t>2023</w:t>
            </w:r>
          </w:p>
        </w:tc>
        <w:tc>
          <w:tcPr>
            <w:tcW w:w="582" w:type="pct"/>
            <w:tcBorders>
              <w:top w:val="nil"/>
              <w:left w:val="nil"/>
              <w:bottom w:val="single" w:sz="4" w:space="0" w:color="auto"/>
              <w:right w:val="single" w:sz="4" w:space="0" w:color="auto"/>
            </w:tcBorders>
            <w:shd w:val="clear" w:color="000000" w:fill="D9D9D9"/>
            <w:vAlign w:val="bottom"/>
            <w:hideMark/>
          </w:tcPr>
          <w:p w:rsidR="0082297D" w:rsidRPr="00AA30C3" w:rsidRDefault="0082297D" w:rsidP="0082297D">
            <w:pPr>
              <w:jc w:val="center"/>
              <w:rPr>
                <w:rFonts w:ascii="Barlow" w:hAnsi="Barlow"/>
                <w:b/>
                <w:bCs/>
                <w:color w:val="000000"/>
                <w:sz w:val="12"/>
                <w:szCs w:val="12"/>
              </w:rPr>
            </w:pPr>
            <w:r w:rsidRPr="00AA30C3">
              <w:rPr>
                <w:rFonts w:ascii="Barlow" w:hAnsi="Barlow"/>
                <w:b/>
                <w:bCs/>
                <w:color w:val="000000"/>
                <w:sz w:val="12"/>
                <w:szCs w:val="12"/>
              </w:rPr>
              <w:t>2024</w:t>
            </w:r>
          </w:p>
        </w:tc>
        <w:tc>
          <w:tcPr>
            <w:tcW w:w="582" w:type="pct"/>
            <w:tcBorders>
              <w:top w:val="nil"/>
              <w:left w:val="nil"/>
              <w:bottom w:val="single" w:sz="4" w:space="0" w:color="auto"/>
              <w:right w:val="single" w:sz="4" w:space="0" w:color="auto"/>
            </w:tcBorders>
            <w:shd w:val="clear" w:color="000000" w:fill="D9D9D9"/>
            <w:vAlign w:val="bottom"/>
            <w:hideMark/>
          </w:tcPr>
          <w:p w:rsidR="0082297D" w:rsidRPr="00AA30C3" w:rsidRDefault="0082297D" w:rsidP="0082297D">
            <w:pPr>
              <w:jc w:val="center"/>
              <w:rPr>
                <w:rFonts w:ascii="Barlow" w:hAnsi="Barlow"/>
                <w:b/>
                <w:bCs/>
                <w:color w:val="000000"/>
                <w:sz w:val="12"/>
                <w:szCs w:val="12"/>
              </w:rPr>
            </w:pPr>
            <w:r w:rsidRPr="00AA30C3">
              <w:rPr>
                <w:rFonts w:ascii="Barlow" w:hAnsi="Barlow"/>
                <w:b/>
                <w:bCs/>
                <w:color w:val="000000"/>
                <w:sz w:val="12"/>
                <w:szCs w:val="12"/>
              </w:rPr>
              <w:t>2025</w:t>
            </w:r>
          </w:p>
        </w:tc>
        <w:tc>
          <w:tcPr>
            <w:tcW w:w="582" w:type="pct"/>
            <w:tcBorders>
              <w:top w:val="nil"/>
              <w:left w:val="nil"/>
              <w:bottom w:val="single" w:sz="4" w:space="0" w:color="auto"/>
              <w:right w:val="single" w:sz="4" w:space="0" w:color="auto"/>
            </w:tcBorders>
            <w:shd w:val="clear" w:color="000000" w:fill="D9D9D9"/>
            <w:vAlign w:val="bottom"/>
            <w:hideMark/>
          </w:tcPr>
          <w:p w:rsidR="0082297D" w:rsidRPr="00AA30C3" w:rsidRDefault="0082297D" w:rsidP="0082297D">
            <w:pPr>
              <w:jc w:val="center"/>
              <w:rPr>
                <w:rFonts w:ascii="Barlow" w:hAnsi="Barlow"/>
                <w:b/>
                <w:bCs/>
                <w:color w:val="000000"/>
                <w:sz w:val="12"/>
                <w:szCs w:val="12"/>
              </w:rPr>
            </w:pPr>
            <w:r w:rsidRPr="00AA30C3">
              <w:rPr>
                <w:rFonts w:ascii="Barlow" w:hAnsi="Barlow"/>
                <w:b/>
                <w:bCs/>
                <w:color w:val="000000"/>
                <w:sz w:val="12"/>
                <w:szCs w:val="12"/>
              </w:rPr>
              <w:t>2026</w:t>
            </w:r>
          </w:p>
        </w:tc>
        <w:tc>
          <w:tcPr>
            <w:tcW w:w="582" w:type="pct"/>
            <w:tcBorders>
              <w:top w:val="nil"/>
              <w:left w:val="nil"/>
              <w:bottom w:val="single" w:sz="4" w:space="0" w:color="auto"/>
              <w:right w:val="single" w:sz="4" w:space="0" w:color="auto"/>
            </w:tcBorders>
            <w:shd w:val="clear" w:color="000000" w:fill="D9D9D9"/>
            <w:vAlign w:val="bottom"/>
            <w:hideMark/>
          </w:tcPr>
          <w:p w:rsidR="0082297D" w:rsidRPr="00AA30C3" w:rsidRDefault="0082297D" w:rsidP="0082297D">
            <w:pPr>
              <w:jc w:val="center"/>
              <w:rPr>
                <w:rFonts w:ascii="Barlow" w:hAnsi="Barlow"/>
                <w:b/>
                <w:bCs/>
                <w:color w:val="000000"/>
                <w:sz w:val="12"/>
                <w:szCs w:val="12"/>
              </w:rPr>
            </w:pPr>
            <w:r w:rsidRPr="00AA30C3">
              <w:rPr>
                <w:rFonts w:ascii="Barlow" w:hAnsi="Barlow"/>
                <w:b/>
                <w:bCs/>
                <w:color w:val="000000"/>
                <w:sz w:val="12"/>
                <w:szCs w:val="12"/>
              </w:rPr>
              <w:t>2027</w:t>
            </w:r>
          </w:p>
        </w:tc>
      </w:tr>
      <w:tr w:rsidR="0082297D" w:rsidRPr="00AA30C3" w:rsidTr="0016359A">
        <w:trPr>
          <w:trHeight w:val="240"/>
          <w:jc w:val="center"/>
        </w:trPr>
        <w:tc>
          <w:tcPr>
            <w:tcW w:w="1507"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b/>
                <w:bCs/>
                <w:color w:val="000000"/>
                <w:sz w:val="12"/>
                <w:szCs w:val="12"/>
              </w:rPr>
            </w:pPr>
            <w:r w:rsidRPr="00AA30C3">
              <w:rPr>
                <w:rFonts w:ascii="Barlow" w:hAnsi="Barlow"/>
                <w:b/>
                <w:bCs/>
                <w:color w:val="000000"/>
                <w:sz w:val="12"/>
                <w:szCs w:val="12"/>
              </w:rPr>
              <w:t xml:space="preserve">1. Ingresos de Libre Disposición (1=A+B+C+D+E+F+G+H+I+J+K+L) </w:t>
            </w:r>
          </w:p>
        </w:tc>
        <w:tc>
          <w:tcPr>
            <w:tcW w:w="582"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22,398,355,804.00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23,279,978,710.70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24,924,852,141.22</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26,357,190,710.50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28,011,962,474.60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30,315,968,827.20</w:t>
            </w:r>
          </w:p>
        </w:tc>
      </w:tr>
      <w:tr w:rsidR="0082297D" w:rsidRPr="00AA30C3" w:rsidTr="0016359A">
        <w:trPr>
          <w:trHeight w:val="240"/>
          <w:jc w:val="center"/>
        </w:trPr>
        <w:tc>
          <w:tcPr>
            <w:tcW w:w="1507"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A. Impuestos</w:t>
            </w:r>
          </w:p>
        </w:tc>
        <w:tc>
          <w:tcPr>
            <w:tcW w:w="582"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2,785,616,196.00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2,969,606,145.75</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3,159,601,546.95</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3,351,942,291.12</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3,555,991,778.09</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3,772,462,777.58</w:t>
            </w:r>
          </w:p>
        </w:tc>
      </w:tr>
      <w:tr w:rsidR="0082297D" w:rsidRPr="00AA30C3" w:rsidTr="0016359A">
        <w:trPr>
          <w:trHeight w:val="240"/>
          <w:jc w:val="center"/>
        </w:trPr>
        <w:tc>
          <w:tcPr>
            <w:tcW w:w="1507"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B. Cuotas y Aportaciones de Seguridad Social</w:t>
            </w:r>
          </w:p>
        </w:tc>
        <w:tc>
          <w:tcPr>
            <w:tcW w:w="582"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r>
      <w:tr w:rsidR="0082297D" w:rsidRPr="00AA30C3" w:rsidTr="0016359A">
        <w:trPr>
          <w:trHeight w:val="240"/>
          <w:jc w:val="center"/>
        </w:trPr>
        <w:tc>
          <w:tcPr>
            <w:tcW w:w="1507"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C. Contribuciones de Mejoras</w:t>
            </w:r>
          </w:p>
        </w:tc>
        <w:tc>
          <w:tcPr>
            <w:tcW w:w="582"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r>
      <w:tr w:rsidR="0082297D" w:rsidRPr="00AA30C3" w:rsidTr="0016359A">
        <w:trPr>
          <w:trHeight w:val="240"/>
          <w:jc w:val="center"/>
        </w:trPr>
        <w:tc>
          <w:tcPr>
            <w:tcW w:w="1507"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D. Derechos</w:t>
            </w:r>
          </w:p>
        </w:tc>
        <w:tc>
          <w:tcPr>
            <w:tcW w:w="582"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1,722,038,175.00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1,482,957,634.78</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1,577,837,264.26</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1,673,888,107.72</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1,775,786,046.28</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1,883,887,021.84</w:t>
            </w:r>
          </w:p>
        </w:tc>
      </w:tr>
      <w:tr w:rsidR="0082297D" w:rsidRPr="00AA30C3" w:rsidTr="0016359A">
        <w:trPr>
          <w:trHeight w:val="240"/>
          <w:jc w:val="center"/>
        </w:trPr>
        <w:tc>
          <w:tcPr>
            <w:tcW w:w="1507"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E. Productos</w:t>
            </w:r>
          </w:p>
        </w:tc>
        <w:tc>
          <w:tcPr>
            <w:tcW w:w="582"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323,996,640.00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345,396,618.07</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367,495,093.70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389,866,357.53</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413,599,472.04</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438,777,339.90</w:t>
            </w:r>
          </w:p>
        </w:tc>
      </w:tr>
      <w:tr w:rsidR="0082297D" w:rsidRPr="00AA30C3" w:rsidTr="0016359A">
        <w:trPr>
          <w:trHeight w:val="240"/>
          <w:jc w:val="center"/>
        </w:trPr>
        <w:tc>
          <w:tcPr>
            <w:tcW w:w="1507"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F. Aprovechamientos</w:t>
            </w:r>
          </w:p>
        </w:tc>
        <w:tc>
          <w:tcPr>
            <w:tcW w:w="582"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279,105,662.00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297,540,590.98</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316,577,237.99</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335,848,877.35</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356,293,677.76</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377,983,055.39</w:t>
            </w:r>
          </w:p>
        </w:tc>
      </w:tr>
      <w:tr w:rsidR="0082297D" w:rsidRPr="00AA30C3" w:rsidTr="0016359A">
        <w:trPr>
          <w:trHeight w:val="240"/>
          <w:jc w:val="center"/>
        </w:trPr>
        <w:tc>
          <w:tcPr>
            <w:tcW w:w="1507"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G. Ingresos por Venta de Bienes y Prestación de Servicios</w:t>
            </w:r>
          </w:p>
        </w:tc>
        <w:tc>
          <w:tcPr>
            <w:tcW w:w="582"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r>
      <w:tr w:rsidR="0082297D" w:rsidRPr="00AA30C3" w:rsidTr="0016359A">
        <w:trPr>
          <w:trHeight w:val="240"/>
          <w:jc w:val="center"/>
        </w:trPr>
        <w:tc>
          <w:tcPr>
            <w:tcW w:w="1507"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H. Participaciones</w:t>
            </w:r>
          </w:p>
        </w:tc>
        <w:tc>
          <w:tcPr>
            <w:tcW w:w="582"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16,718,685,276.00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17,577,987,106.00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18,858,047,113.65</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19,921,068,926.88</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21,184,041,777.40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23,072,398,457.56</w:t>
            </w:r>
          </w:p>
        </w:tc>
      </w:tr>
      <w:tr w:rsidR="0082297D" w:rsidRPr="00AA30C3" w:rsidTr="0016359A">
        <w:trPr>
          <w:trHeight w:val="240"/>
          <w:jc w:val="center"/>
        </w:trPr>
        <w:tc>
          <w:tcPr>
            <w:tcW w:w="1507"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I. Incentivos Derivados de la Colaboración Fiscal</w:t>
            </w:r>
          </w:p>
        </w:tc>
        <w:tc>
          <w:tcPr>
            <w:tcW w:w="582"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568,913,855.00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606,490,615.12</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645,293,884.68</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684,576,149.91</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726,249,723.03</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770,460,174.92</w:t>
            </w:r>
          </w:p>
        </w:tc>
      </w:tr>
      <w:tr w:rsidR="0082297D" w:rsidRPr="00AA30C3" w:rsidTr="0016359A">
        <w:trPr>
          <w:trHeight w:val="240"/>
          <w:jc w:val="center"/>
        </w:trPr>
        <w:tc>
          <w:tcPr>
            <w:tcW w:w="1507"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J. Transferencias y Asignaciones</w:t>
            </w:r>
          </w:p>
        </w:tc>
        <w:tc>
          <w:tcPr>
            <w:tcW w:w="582"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r>
      <w:tr w:rsidR="0082297D" w:rsidRPr="00AA30C3" w:rsidTr="0016359A">
        <w:trPr>
          <w:trHeight w:val="240"/>
          <w:jc w:val="center"/>
        </w:trPr>
        <w:tc>
          <w:tcPr>
            <w:tcW w:w="1507"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K. Convenios</w:t>
            </w:r>
          </w:p>
        </w:tc>
        <w:tc>
          <w:tcPr>
            <w:tcW w:w="582"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r>
      <w:tr w:rsidR="0082297D" w:rsidRPr="00AA30C3" w:rsidTr="0016359A">
        <w:trPr>
          <w:trHeight w:val="240"/>
          <w:jc w:val="center"/>
        </w:trPr>
        <w:tc>
          <w:tcPr>
            <w:tcW w:w="1507"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L. Otros Ingresos de Libre Disposición</w:t>
            </w:r>
          </w:p>
        </w:tc>
        <w:tc>
          <w:tcPr>
            <w:tcW w:w="582"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r>
      <w:tr w:rsidR="0082297D" w:rsidRPr="00AA30C3" w:rsidTr="0016359A">
        <w:trPr>
          <w:trHeight w:val="240"/>
          <w:jc w:val="center"/>
        </w:trPr>
        <w:tc>
          <w:tcPr>
            <w:tcW w:w="1507"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b/>
                <w:bCs/>
                <w:color w:val="000000"/>
                <w:sz w:val="12"/>
                <w:szCs w:val="12"/>
              </w:rPr>
            </w:pPr>
            <w:r w:rsidRPr="00AA30C3">
              <w:rPr>
                <w:rFonts w:ascii="Barlow" w:hAnsi="Barlow"/>
                <w:b/>
                <w:bCs/>
                <w:color w:val="000000"/>
                <w:sz w:val="12"/>
                <w:szCs w:val="12"/>
              </w:rPr>
              <w:t>2. Transferencias Federales Etiquetadas (2=A+B+C+D+E)</w:t>
            </w:r>
          </w:p>
        </w:tc>
        <w:tc>
          <w:tcPr>
            <w:tcW w:w="582"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20,237,380,255.00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21,507,215,655.54</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22,667,717,889.13</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23,901,064,143.03</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25,181,355,363.70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26,543,820,603.88</w:t>
            </w:r>
          </w:p>
        </w:tc>
      </w:tr>
      <w:tr w:rsidR="0082297D" w:rsidRPr="00AA30C3" w:rsidTr="0016359A">
        <w:trPr>
          <w:trHeight w:val="240"/>
          <w:jc w:val="center"/>
        </w:trPr>
        <w:tc>
          <w:tcPr>
            <w:tcW w:w="1507"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A. Aportaciones</w:t>
            </w:r>
          </w:p>
        </w:tc>
        <w:tc>
          <w:tcPr>
            <w:tcW w:w="582"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15,061,319,925.00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16,171,544,876.79</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17,167,329,174.26</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18,230,680,696.02</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19,335,525,288.65</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20,516,910,910.40</w:t>
            </w:r>
          </w:p>
        </w:tc>
      </w:tr>
      <w:tr w:rsidR="0082297D" w:rsidRPr="00AA30C3" w:rsidTr="0016359A">
        <w:trPr>
          <w:trHeight w:val="240"/>
          <w:jc w:val="center"/>
        </w:trPr>
        <w:tc>
          <w:tcPr>
            <w:tcW w:w="1507"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B. Convenios</w:t>
            </w:r>
          </w:p>
        </w:tc>
        <w:tc>
          <w:tcPr>
            <w:tcW w:w="582"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3,001,965,784.00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3,079,233,451.37</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3,158,489,913.03</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3,239,786,358.61</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3,323,175,295.29</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3,408,710,581.77</w:t>
            </w:r>
          </w:p>
        </w:tc>
      </w:tr>
      <w:tr w:rsidR="0082297D" w:rsidRPr="00AA30C3" w:rsidTr="0016359A">
        <w:trPr>
          <w:trHeight w:val="240"/>
          <w:jc w:val="center"/>
        </w:trPr>
        <w:tc>
          <w:tcPr>
            <w:tcW w:w="1507"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C. Fondos Distintos de Aportaciones</w:t>
            </w:r>
          </w:p>
        </w:tc>
        <w:tc>
          <w:tcPr>
            <w:tcW w:w="582"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r>
      <w:tr w:rsidR="0082297D" w:rsidRPr="00AA30C3" w:rsidTr="0016359A">
        <w:trPr>
          <w:trHeight w:val="240"/>
          <w:jc w:val="center"/>
        </w:trPr>
        <w:tc>
          <w:tcPr>
            <w:tcW w:w="1507"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D. Transferencias, Asignaciones, Subsidios y Subvenciones, y Pensiones y Jubilaciones</w:t>
            </w:r>
          </w:p>
        </w:tc>
        <w:tc>
          <w:tcPr>
            <w:tcW w:w="582"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2,174,094,546.00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2,256,437,327.38</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2,341,898,801.85</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2,430,597,088.41</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2,522,654,779.75</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2,618,199,111.71</w:t>
            </w:r>
          </w:p>
        </w:tc>
      </w:tr>
      <w:tr w:rsidR="0082297D" w:rsidRPr="00AA30C3" w:rsidTr="0016359A">
        <w:trPr>
          <w:trHeight w:val="240"/>
          <w:jc w:val="center"/>
        </w:trPr>
        <w:tc>
          <w:tcPr>
            <w:tcW w:w="1507"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E. Otras Transferencias Federales Etiquetadas</w:t>
            </w:r>
          </w:p>
        </w:tc>
        <w:tc>
          <w:tcPr>
            <w:tcW w:w="582"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r>
      <w:tr w:rsidR="0082297D" w:rsidRPr="00AA30C3" w:rsidTr="0016359A">
        <w:trPr>
          <w:trHeight w:val="240"/>
          <w:jc w:val="center"/>
        </w:trPr>
        <w:tc>
          <w:tcPr>
            <w:tcW w:w="1507"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b/>
                <w:bCs/>
                <w:color w:val="000000"/>
                <w:sz w:val="12"/>
                <w:szCs w:val="12"/>
              </w:rPr>
            </w:pPr>
            <w:r w:rsidRPr="00AA30C3">
              <w:rPr>
                <w:rFonts w:ascii="Barlow" w:hAnsi="Barlow"/>
                <w:b/>
                <w:bCs/>
                <w:color w:val="000000"/>
                <w:sz w:val="12"/>
                <w:szCs w:val="12"/>
              </w:rPr>
              <w:t>3. Ingresos Derivados de Financiamientos (3=A)</w:t>
            </w:r>
          </w:p>
        </w:tc>
        <w:tc>
          <w:tcPr>
            <w:tcW w:w="582"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0.00</w:t>
            </w:r>
          </w:p>
        </w:tc>
      </w:tr>
      <w:tr w:rsidR="0082297D" w:rsidRPr="00AA30C3" w:rsidTr="0016359A">
        <w:trPr>
          <w:trHeight w:val="240"/>
          <w:jc w:val="center"/>
        </w:trPr>
        <w:tc>
          <w:tcPr>
            <w:tcW w:w="1507"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A. Ingresos Derivados de Financiamientos</w:t>
            </w:r>
          </w:p>
        </w:tc>
        <w:tc>
          <w:tcPr>
            <w:tcW w:w="582"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r>
      <w:tr w:rsidR="0082297D" w:rsidRPr="00AA30C3" w:rsidTr="0016359A">
        <w:trPr>
          <w:trHeight w:val="240"/>
          <w:jc w:val="center"/>
        </w:trPr>
        <w:tc>
          <w:tcPr>
            <w:tcW w:w="1507"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b/>
                <w:bCs/>
                <w:color w:val="000000"/>
                <w:sz w:val="12"/>
                <w:szCs w:val="12"/>
              </w:rPr>
            </w:pPr>
            <w:r w:rsidRPr="00AA30C3">
              <w:rPr>
                <w:rFonts w:ascii="Barlow" w:hAnsi="Barlow"/>
                <w:b/>
                <w:bCs/>
                <w:color w:val="000000"/>
                <w:sz w:val="12"/>
                <w:szCs w:val="12"/>
              </w:rPr>
              <w:t>4. Total de Ingresos Proyectados (4=1+2+3)</w:t>
            </w:r>
          </w:p>
        </w:tc>
        <w:tc>
          <w:tcPr>
            <w:tcW w:w="582"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42,635,736,059.00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44,787,194,366.24</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47,592,570,030.35</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50,258,254,853.54</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53,193,317,838.30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56,859,789,431.09</w:t>
            </w:r>
          </w:p>
        </w:tc>
      </w:tr>
      <w:tr w:rsidR="0082297D" w:rsidRPr="00AA30C3" w:rsidTr="0016359A">
        <w:trPr>
          <w:trHeight w:val="240"/>
          <w:jc w:val="center"/>
        </w:trPr>
        <w:tc>
          <w:tcPr>
            <w:tcW w:w="1507"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b/>
                <w:bCs/>
                <w:color w:val="000000"/>
                <w:sz w:val="12"/>
                <w:szCs w:val="12"/>
              </w:rPr>
            </w:pPr>
            <w:r w:rsidRPr="00AA30C3">
              <w:rPr>
                <w:rFonts w:ascii="Barlow" w:hAnsi="Barlow"/>
                <w:b/>
                <w:bCs/>
                <w:color w:val="000000"/>
                <w:sz w:val="12"/>
                <w:szCs w:val="12"/>
              </w:rPr>
              <w:t>Datos Informativos</w:t>
            </w:r>
          </w:p>
        </w:tc>
        <w:tc>
          <w:tcPr>
            <w:tcW w:w="582"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 </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 </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 </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 </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 </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 </w:t>
            </w:r>
          </w:p>
        </w:tc>
      </w:tr>
      <w:tr w:rsidR="0082297D" w:rsidRPr="00AA30C3" w:rsidTr="0016359A">
        <w:trPr>
          <w:trHeight w:val="240"/>
          <w:jc w:val="center"/>
        </w:trPr>
        <w:tc>
          <w:tcPr>
            <w:tcW w:w="1507"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1. Ingresos Derivados de Financiamientos con Fuente de Pago de Recursos de Libre Disposición</w:t>
            </w:r>
          </w:p>
        </w:tc>
        <w:tc>
          <w:tcPr>
            <w:tcW w:w="582"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r>
      <w:tr w:rsidR="0082297D" w:rsidRPr="00AA30C3" w:rsidTr="0016359A">
        <w:trPr>
          <w:trHeight w:val="480"/>
          <w:jc w:val="center"/>
        </w:trPr>
        <w:tc>
          <w:tcPr>
            <w:tcW w:w="1507"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2. Ingresos Derivados de Financiamientos con Fuente de Pago de Transferencias Federales Etiquetadas</w:t>
            </w:r>
          </w:p>
        </w:tc>
        <w:tc>
          <w:tcPr>
            <w:tcW w:w="582"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r>
      <w:tr w:rsidR="0082297D" w:rsidRPr="00AA30C3" w:rsidTr="0016359A">
        <w:trPr>
          <w:trHeight w:val="240"/>
          <w:jc w:val="center"/>
        </w:trPr>
        <w:tc>
          <w:tcPr>
            <w:tcW w:w="1507" w:type="pct"/>
            <w:tcBorders>
              <w:top w:val="nil"/>
              <w:left w:val="single" w:sz="4" w:space="0" w:color="auto"/>
              <w:bottom w:val="single" w:sz="4" w:space="0" w:color="auto"/>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3. Ingresos Derivados de Financiamiento (3 = 1 + 2)</w:t>
            </w:r>
          </w:p>
        </w:tc>
        <w:tc>
          <w:tcPr>
            <w:tcW w:w="582" w:type="pct"/>
            <w:tcBorders>
              <w:top w:val="nil"/>
              <w:left w:val="single" w:sz="4" w:space="0" w:color="auto"/>
              <w:bottom w:val="single" w:sz="4" w:space="0" w:color="auto"/>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single" w:sz="4" w:space="0" w:color="auto"/>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single" w:sz="4" w:space="0" w:color="auto"/>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single" w:sz="4" w:space="0" w:color="auto"/>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single" w:sz="4" w:space="0" w:color="auto"/>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82" w:type="pct"/>
            <w:tcBorders>
              <w:top w:val="nil"/>
              <w:left w:val="nil"/>
              <w:bottom w:val="single" w:sz="4" w:space="0" w:color="auto"/>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r>
    </w:tbl>
    <w:p w:rsidR="0082297D" w:rsidRPr="0016359A" w:rsidRDefault="0082297D" w:rsidP="0082297D">
      <w:pPr>
        <w:rPr>
          <w:rFonts w:ascii="Arial" w:hAnsi="Arial" w:cs="Arial"/>
          <w:i/>
          <w:sz w:val="16"/>
          <w:szCs w:val="16"/>
        </w:rPr>
      </w:pPr>
      <w:r w:rsidRPr="0016359A">
        <w:rPr>
          <w:rFonts w:ascii="Arial" w:hAnsi="Arial" w:cs="Arial"/>
          <w:i/>
          <w:sz w:val="16"/>
          <w:szCs w:val="16"/>
        </w:rPr>
        <w:t>Esta hoja pertenece a la Iniciativa para expedir la Ley de Ingresos Estado de Yucatán para el Ejercicio Fiscal 2022.</w:t>
      </w:r>
    </w:p>
    <w:p w:rsidR="0082297D" w:rsidRDefault="0082297D" w:rsidP="0082297D">
      <w:pPr>
        <w:rPr>
          <w:rFonts w:ascii="Arial" w:hAnsi="Arial" w:cs="Arial"/>
          <w:sz w:val="20"/>
        </w:rPr>
      </w:pPr>
      <w:r>
        <w:rPr>
          <w:rFonts w:ascii="Arial" w:hAnsi="Arial" w:cs="Arial"/>
          <w:sz w:val="20"/>
        </w:rPr>
        <w:br w:type="page"/>
      </w:r>
    </w:p>
    <w:p w:rsidR="0082297D" w:rsidRPr="0016359A" w:rsidRDefault="0082297D" w:rsidP="0082297D">
      <w:pPr>
        <w:jc w:val="center"/>
        <w:rPr>
          <w:rFonts w:ascii="Arial" w:hAnsi="Arial" w:cs="Arial"/>
          <w:b/>
          <w:sz w:val="22"/>
          <w:szCs w:val="22"/>
        </w:rPr>
      </w:pPr>
      <w:r w:rsidRPr="0016359A">
        <w:rPr>
          <w:rFonts w:ascii="Arial" w:hAnsi="Arial" w:cs="Arial"/>
          <w:b/>
          <w:sz w:val="22"/>
          <w:szCs w:val="22"/>
        </w:rPr>
        <w:lastRenderedPageBreak/>
        <w:t>Anexo II</w:t>
      </w:r>
    </w:p>
    <w:p w:rsidR="0082297D" w:rsidRPr="0016359A" w:rsidRDefault="0082297D" w:rsidP="0082297D">
      <w:pPr>
        <w:jc w:val="center"/>
        <w:rPr>
          <w:rFonts w:ascii="Arial" w:hAnsi="Arial" w:cs="Arial"/>
          <w:b/>
          <w:sz w:val="22"/>
          <w:szCs w:val="22"/>
        </w:rPr>
      </w:pPr>
      <w:r w:rsidRPr="0016359A">
        <w:rPr>
          <w:rFonts w:ascii="Arial" w:hAnsi="Arial" w:cs="Arial"/>
          <w:b/>
          <w:sz w:val="22"/>
          <w:szCs w:val="22"/>
        </w:rPr>
        <w:t>Resultados de ingresos de cinco años anteriores</w:t>
      </w:r>
    </w:p>
    <w:p w:rsidR="0082297D" w:rsidRPr="0016359A" w:rsidRDefault="0082297D" w:rsidP="0082297D">
      <w:pPr>
        <w:jc w:val="center"/>
        <w:rPr>
          <w:rFonts w:ascii="Arial" w:hAnsi="Arial" w:cs="Arial"/>
          <w:b/>
          <w:sz w:val="22"/>
          <w:szCs w:val="22"/>
        </w:rPr>
      </w:pPr>
    </w:p>
    <w:tbl>
      <w:tblPr>
        <w:tblW w:w="5000" w:type="pct"/>
        <w:jc w:val="center"/>
        <w:tblCellMar>
          <w:left w:w="70" w:type="dxa"/>
          <w:right w:w="70" w:type="dxa"/>
        </w:tblCellMar>
        <w:tblLook w:val="04A0" w:firstRow="1" w:lastRow="0" w:firstColumn="1" w:lastColumn="0" w:noHBand="0" w:noVBand="1"/>
      </w:tblPr>
      <w:tblGrid>
        <w:gridCol w:w="4841"/>
        <w:gridCol w:w="1557"/>
        <w:gridCol w:w="1632"/>
        <w:gridCol w:w="1583"/>
        <w:gridCol w:w="1620"/>
        <w:gridCol w:w="1577"/>
        <w:gridCol w:w="1580"/>
      </w:tblGrid>
      <w:tr w:rsidR="0082297D" w:rsidRPr="00AA30C3" w:rsidTr="0082297D">
        <w:trPr>
          <w:trHeight w:val="750"/>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D9D9D9"/>
            <w:vAlign w:val="bottom"/>
            <w:hideMark/>
          </w:tcPr>
          <w:p w:rsidR="0082297D" w:rsidRPr="00AA30C3" w:rsidRDefault="0082297D" w:rsidP="0082297D">
            <w:pPr>
              <w:jc w:val="center"/>
              <w:rPr>
                <w:rFonts w:ascii="Barlow" w:hAnsi="Barlow"/>
                <w:b/>
                <w:bCs/>
                <w:color w:val="000000"/>
                <w:sz w:val="12"/>
                <w:szCs w:val="12"/>
              </w:rPr>
            </w:pPr>
            <w:r w:rsidRPr="00AA30C3">
              <w:rPr>
                <w:rFonts w:ascii="Barlow" w:hAnsi="Barlow"/>
                <w:b/>
                <w:bCs/>
                <w:color w:val="000000"/>
                <w:sz w:val="12"/>
                <w:szCs w:val="12"/>
              </w:rPr>
              <w:t>Yucatán</w:t>
            </w:r>
            <w:r w:rsidRPr="00AA30C3">
              <w:rPr>
                <w:rFonts w:ascii="Barlow" w:hAnsi="Barlow"/>
                <w:b/>
                <w:bCs/>
                <w:color w:val="000000"/>
                <w:sz w:val="12"/>
                <w:szCs w:val="12"/>
              </w:rPr>
              <w:br/>
              <w:t>Resultado de Ingresos - LDF</w:t>
            </w:r>
            <w:r w:rsidRPr="00AA30C3">
              <w:rPr>
                <w:rFonts w:ascii="Barlow" w:hAnsi="Barlow"/>
                <w:b/>
                <w:bCs/>
                <w:color w:val="000000"/>
                <w:sz w:val="12"/>
                <w:szCs w:val="12"/>
              </w:rPr>
              <w:br/>
              <w:t>(Pesos)</w:t>
            </w:r>
          </w:p>
        </w:tc>
      </w:tr>
      <w:tr w:rsidR="0082297D" w:rsidRPr="00AA30C3" w:rsidTr="0082297D">
        <w:trPr>
          <w:trHeight w:val="270"/>
          <w:jc w:val="center"/>
        </w:trPr>
        <w:tc>
          <w:tcPr>
            <w:tcW w:w="1682" w:type="pct"/>
            <w:tcBorders>
              <w:top w:val="nil"/>
              <w:left w:val="single" w:sz="4" w:space="0" w:color="auto"/>
              <w:bottom w:val="single" w:sz="4" w:space="0" w:color="auto"/>
              <w:right w:val="nil"/>
            </w:tcBorders>
            <w:shd w:val="clear" w:color="000000" w:fill="D9D9D9"/>
            <w:vAlign w:val="bottom"/>
            <w:hideMark/>
          </w:tcPr>
          <w:p w:rsidR="0082297D" w:rsidRPr="00AA30C3" w:rsidRDefault="0082297D" w:rsidP="0082297D">
            <w:pPr>
              <w:jc w:val="center"/>
              <w:rPr>
                <w:rFonts w:ascii="Barlow" w:hAnsi="Barlow"/>
                <w:b/>
                <w:bCs/>
                <w:color w:val="000000"/>
                <w:sz w:val="12"/>
                <w:szCs w:val="12"/>
              </w:rPr>
            </w:pPr>
            <w:r w:rsidRPr="00AA30C3">
              <w:rPr>
                <w:rFonts w:ascii="Barlow" w:hAnsi="Barlow"/>
                <w:b/>
                <w:bCs/>
                <w:color w:val="000000"/>
                <w:sz w:val="12"/>
                <w:szCs w:val="12"/>
              </w:rPr>
              <w:t>Concepto</w:t>
            </w:r>
          </w:p>
        </w:tc>
        <w:tc>
          <w:tcPr>
            <w:tcW w:w="541" w:type="pct"/>
            <w:tcBorders>
              <w:top w:val="nil"/>
              <w:left w:val="single" w:sz="4" w:space="0" w:color="auto"/>
              <w:bottom w:val="single" w:sz="4" w:space="0" w:color="auto"/>
              <w:right w:val="single" w:sz="4" w:space="0" w:color="auto"/>
            </w:tcBorders>
            <w:shd w:val="clear" w:color="000000" w:fill="D9D9D9"/>
            <w:vAlign w:val="bottom"/>
            <w:hideMark/>
          </w:tcPr>
          <w:p w:rsidR="0082297D" w:rsidRPr="00AA30C3" w:rsidRDefault="0082297D" w:rsidP="0082297D">
            <w:pPr>
              <w:jc w:val="center"/>
              <w:rPr>
                <w:rFonts w:ascii="Barlow" w:hAnsi="Barlow"/>
                <w:b/>
                <w:bCs/>
                <w:color w:val="000000"/>
                <w:sz w:val="12"/>
                <w:szCs w:val="12"/>
              </w:rPr>
            </w:pPr>
            <w:r w:rsidRPr="00AA30C3">
              <w:rPr>
                <w:rFonts w:ascii="Barlow" w:hAnsi="Barlow"/>
                <w:b/>
                <w:bCs/>
                <w:color w:val="000000"/>
                <w:sz w:val="12"/>
                <w:szCs w:val="12"/>
              </w:rPr>
              <w:t>2016</w:t>
            </w:r>
            <w:r w:rsidRPr="00AA30C3">
              <w:rPr>
                <w:rFonts w:ascii="Barlow" w:hAnsi="Barlow"/>
                <w:b/>
                <w:bCs/>
                <w:color w:val="000000"/>
                <w:sz w:val="12"/>
                <w:szCs w:val="12"/>
                <w:vertAlign w:val="superscript"/>
              </w:rPr>
              <w:t>1</w:t>
            </w:r>
          </w:p>
        </w:tc>
        <w:tc>
          <w:tcPr>
            <w:tcW w:w="567" w:type="pct"/>
            <w:tcBorders>
              <w:top w:val="nil"/>
              <w:left w:val="nil"/>
              <w:bottom w:val="single" w:sz="4" w:space="0" w:color="auto"/>
              <w:right w:val="nil"/>
            </w:tcBorders>
            <w:shd w:val="clear" w:color="000000" w:fill="D9D9D9"/>
            <w:vAlign w:val="bottom"/>
            <w:hideMark/>
          </w:tcPr>
          <w:p w:rsidR="0082297D" w:rsidRPr="00AA30C3" w:rsidRDefault="0082297D" w:rsidP="0082297D">
            <w:pPr>
              <w:jc w:val="center"/>
              <w:rPr>
                <w:rFonts w:ascii="Barlow" w:hAnsi="Barlow"/>
                <w:b/>
                <w:bCs/>
                <w:color w:val="000000"/>
                <w:sz w:val="12"/>
                <w:szCs w:val="12"/>
              </w:rPr>
            </w:pPr>
            <w:r w:rsidRPr="00AA30C3">
              <w:rPr>
                <w:rFonts w:ascii="Barlow" w:hAnsi="Barlow"/>
                <w:b/>
                <w:bCs/>
                <w:color w:val="000000"/>
                <w:sz w:val="12"/>
                <w:szCs w:val="12"/>
              </w:rPr>
              <w:t>2017</w:t>
            </w:r>
            <w:r w:rsidRPr="00AA30C3">
              <w:rPr>
                <w:rFonts w:ascii="Barlow" w:hAnsi="Barlow"/>
                <w:b/>
                <w:bCs/>
                <w:color w:val="000000"/>
                <w:sz w:val="12"/>
                <w:szCs w:val="12"/>
                <w:vertAlign w:val="superscript"/>
              </w:rPr>
              <w:t>1</w:t>
            </w:r>
          </w:p>
        </w:tc>
        <w:tc>
          <w:tcPr>
            <w:tcW w:w="550" w:type="pct"/>
            <w:tcBorders>
              <w:top w:val="nil"/>
              <w:left w:val="single" w:sz="4" w:space="0" w:color="auto"/>
              <w:bottom w:val="single" w:sz="4" w:space="0" w:color="auto"/>
              <w:right w:val="single" w:sz="4" w:space="0" w:color="auto"/>
            </w:tcBorders>
            <w:shd w:val="clear" w:color="000000" w:fill="D9D9D9"/>
            <w:vAlign w:val="bottom"/>
            <w:hideMark/>
          </w:tcPr>
          <w:p w:rsidR="0082297D" w:rsidRPr="00AA30C3" w:rsidRDefault="0082297D" w:rsidP="0082297D">
            <w:pPr>
              <w:jc w:val="center"/>
              <w:rPr>
                <w:rFonts w:ascii="Barlow" w:hAnsi="Barlow"/>
                <w:b/>
                <w:bCs/>
                <w:color w:val="000000"/>
                <w:sz w:val="12"/>
                <w:szCs w:val="12"/>
              </w:rPr>
            </w:pPr>
            <w:r w:rsidRPr="00AA30C3">
              <w:rPr>
                <w:rFonts w:ascii="Barlow" w:hAnsi="Barlow"/>
                <w:b/>
                <w:bCs/>
                <w:color w:val="000000"/>
                <w:sz w:val="12"/>
                <w:szCs w:val="12"/>
              </w:rPr>
              <w:t>2018</w:t>
            </w:r>
            <w:r w:rsidRPr="00AA30C3">
              <w:rPr>
                <w:rFonts w:ascii="Barlow" w:hAnsi="Barlow"/>
                <w:b/>
                <w:bCs/>
                <w:color w:val="000000"/>
                <w:sz w:val="12"/>
                <w:szCs w:val="12"/>
                <w:vertAlign w:val="superscript"/>
              </w:rPr>
              <w:t>1</w:t>
            </w:r>
          </w:p>
        </w:tc>
        <w:tc>
          <w:tcPr>
            <w:tcW w:w="563" w:type="pct"/>
            <w:tcBorders>
              <w:top w:val="nil"/>
              <w:left w:val="nil"/>
              <w:bottom w:val="single" w:sz="4" w:space="0" w:color="auto"/>
              <w:right w:val="nil"/>
            </w:tcBorders>
            <w:shd w:val="clear" w:color="000000" w:fill="D9D9D9"/>
            <w:vAlign w:val="bottom"/>
            <w:hideMark/>
          </w:tcPr>
          <w:p w:rsidR="0082297D" w:rsidRPr="00AA30C3" w:rsidRDefault="0082297D" w:rsidP="0082297D">
            <w:pPr>
              <w:jc w:val="center"/>
              <w:rPr>
                <w:rFonts w:ascii="Barlow" w:hAnsi="Barlow"/>
                <w:b/>
                <w:bCs/>
                <w:color w:val="000000"/>
                <w:sz w:val="12"/>
                <w:szCs w:val="12"/>
              </w:rPr>
            </w:pPr>
            <w:r w:rsidRPr="00AA30C3">
              <w:rPr>
                <w:rFonts w:ascii="Barlow" w:hAnsi="Barlow"/>
                <w:b/>
                <w:bCs/>
                <w:color w:val="000000"/>
                <w:sz w:val="12"/>
                <w:szCs w:val="12"/>
              </w:rPr>
              <w:t>2019</w:t>
            </w:r>
            <w:r w:rsidRPr="00AA30C3">
              <w:rPr>
                <w:rFonts w:ascii="Barlow" w:hAnsi="Barlow"/>
                <w:b/>
                <w:bCs/>
                <w:color w:val="000000"/>
                <w:sz w:val="12"/>
                <w:szCs w:val="12"/>
                <w:vertAlign w:val="superscript"/>
              </w:rPr>
              <w:t>1</w:t>
            </w:r>
          </w:p>
        </w:tc>
        <w:tc>
          <w:tcPr>
            <w:tcW w:w="548" w:type="pct"/>
            <w:tcBorders>
              <w:top w:val="nil"/>
              <w:left w:val="single" w:sz="4" w:space="0" w:color="auto"/>
              <w:bottom w:val="single" w:sz="4" w:space="0" w:color="auto"/>
              <w:right w:val="single" w:sz="4" w:space="0" w:color="auto"/>
            </w:tcBorders>
            <w:shd w:val="clear" w:color="000000" w:fill="D9D9D9"/>
            <w:vAlign w:val="bottom"/>
            <w:hideMark/>
          </w:tcPr>
          <w:p w:rsidR="0082297D" w:rsidRPr="00AA30C3" w:rsidRDefault="0082297D" w:rsidP="0082297D">
            <w:pPr>
              <w:jc w:val="center"/>
              <w:rPr>
                <w:rFonts w:ascii="Barlow" w:hAnsi="Barlow"/>
                <w:b/>
                <w:bCs/>
                <w:color w:val="000000"/>
                <w:sz w:val="12"/>
                <w:szCs w:val="12"/>
              </w:rPr>
            </w:pPr>
            <w:r w:rsidRPr="00AA30C3">
              <w:rPr>
                <w:rFonts w:ascii="Barlow" w:hAnsi="Barlow"/>
                <w:b/>
                <w:bCs/>
                <w:color w:val="000000"/>
                <w:sz w:val="12"/>
                <w:szCs w:val="12"/>
              </w:rPr>
              <w:t>2020</w:t>
            </w:r>
            <w:r w:rsidRPr="00AA30C3">
              <w:rPr>
                <w:rFonts w:ascii="Barlow" w:hAnsi="Barlow"/>
                <w:b/>
                <w:bCs/>
                <w:color w:val="000000"/>
                <w:sz w:val="12"/>
                <w:szCs w:val="12"/>
                <w:vertAlign w:val="superscript"/>
              </w:rPr>
              <w:t>1</w:t>
            </w:r>
          </w:p>
        </w:tc>
        <w:tc>
          <w:tcPr>
            <w:tcW w:w="549" w:type="pct"/>
            <w:tcBorders>
              <w:top w:val="nil"/>
              <w:left w:val="nil"/>
              <w:bottom w:val="single" w:sz="4" w:space="0" w:color="auto"/>
              <w:right w:val="single" w:sz="4" w:space="0" w:color="auto"/>
            </w:tcBorders>
            <w:shd w:val="clear" w:color="000000" w:fill="D9D9D9"/>
            <w:vAlign w:val="bottom"/>
            <w:hideMark/>
          </w:tcPr>
          <w:p w:rsidR="0082297D" w:rsidRPr="00AA30C3" w:rsidRDefault="0082297D" w:rsidP="0082297D">
            <w:pPr>
              <w:jc w:val="center"/>
              <w:rPr>
                <w:rFonts w:ascii="Barlow" w:hAnsi="Barlow"/>
                <w:b/>
                <w:bCs/>
                <w:color w:val="000000"/>
                <w:sz w:val="12"/>
                <w:szCs w:val="12"/>
              </w:rPr>
            </w:pPr>
            <w:r w:rsidRPr="00AA30C3">
              <w:rPr>
                <w:rFonts w:ascii="Barlow" w:hAnsi="Barlow"/>
                <w:b/>
                <w:bCs/>
                <w:color w:val="000000"/>
                <w:sz w:val="12"/>
                <w:szCs w:val="12"/>
              </w:rPr>
              <w:t>2021</w:t>
            </w:r>
            <w:r w:rsidRPr="00AA30C3">
              <w:rPr>
                <w:rFonts w:ascii="Barlow" w:hAnsi="Barlow"/>
                <w:b/>
                <w:bCs/>
                <w:color w:val="000000"/>
                <w:sz w:val="12"/>
                <w:szCs w:val="12"/>
                <w:vertAlign w:val="superscript"/>
              </w:rPr>
              <w:t>2</w:t>
            </w:r>
          </w:p>
        </w:tc>
      </w:tr>
      <w:tr w:rsidR="0082297D" w:rsidRPr="00AA30C3" w:rsidTr="0082297D">
        <w:trPr>
          <w:trHeight w:val="240"/>
          <w:jc w:val="center"/>
        </w:trPr>
        <w:tc>
          <w:tcPr>
            <w:tcW w:w="1682"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b/>
                <w:bCs/>
                <w:color w:val="000000"/>
                <w:sz w:val="12"/>
                <w:szCs w:val="12"/>
              </w:rPr>
            </w:pPr>
            <w:r w:rsidRPr="00AA30C3">
              <w:rPr>
                <w:rFonts w:ascii="Barlow" w:hAnsi="Barlow"/>
                <w:b/>
                <w:bCs/>
                <w:color w:val="000000"/>
                <w:sz w:val="12"/>
                <w:szCs w:val="12"/>
              </w:rPr>
              <w:t xml:space="preserve">1. Ingresos de Libre Disposición (1=A+B+C+D+E+F+G+H+I+J+K+L) </w:t>
            </w:r>
          </w:p>
        </w:tc>
        <w:tc>
          <w:tcPr>
            <w:tcW w:w="541"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14,745,541,759.73</w:t>
            </w:r>
          </w:p>
        </w:tc>
        <w:tc>
          <w:tcPr>
            <w:tcW w:w="567" w:type="pct"/>
            <w:tcBorders>
              <w:top w:val="nil"/>
              <w:left w:val="nil"/>
              <w:bottom w:val="nil"/>
              <w:right w:val="nil"/>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16,810,135,971.94</w:t>
            </w:r>
          </w:p>
        </w:tc>
        <w:tc>
          <w:tcPr>
            <w:tcW w:w="550"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18,716,987,371.84</w:t>
            </w:r>
          </w:p>
        </w:tc>
        <w:tc>
          <w:tcPr>
            <w:tcW w:w="563" w:type="pct"/>
            <w:tcBorders>
              <w:top w:val="nil"/>
              <w:left w:val="nil"/>
              <w:bottom w:val="nil"/>
              <w:right w:val="nil"/>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19,334,420,199.44</w:t>
            </w:r>
          </w:p>
        </w:tc>
        <w:tc>
          <w:tcPr>
            <w:tcW w:w="548"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18,725,980,414.92</w:t>
            </w:r>
          </w:p>
        </w:tc>
        <w:tc>
          <w:tcPr>
            <w:tcW w:w="549"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19,100,184,083.72</w:t>
            </w:r>
          </w:p>
        </w:tc>
      </w:tr>
      <w:tr w:rsidR="0082297D" w:rsidRPr="00AA30C3" w:rsidTr="0082297D">
        <w:trPr>
          <w:trHeight w:val="240"/>
          <w:jc w:val="center"/>
        </w:trPr>
        <w:tc>
          <w:tcPr>
            <w:tcW w:w="1682"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A. Impuestos</w:t>
            </w:r>
          </w:p>
        </w:tc>
        <w:tc>
          <w:tcPr>
            <w:tcW w:w="541"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1,730,407,440.47</w:t>
            </w:r>
          </w:p>
        </w:tc>
        <w:tc>
          <w:tcPr>
            <w:tcW w:w="567" w:type="pct"/>
            <w:tcBorders>
              <w:top w:val="nil"/>
              <w:left w:val="nil"/>
              <w:bottom w:val="nil"/>
              <w:right w:val="nil"/>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1,847,773,499.65</w:t>
            </w:r>
          </w:p>
        </w:tc>
        <w:tc>
          <w:tcPr>
            <w:tcW w:w="550"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1,912,884,611.10</w:t>
            </w:r>
          </w:p>
        </w:tc>
        <w:tc>
          <w:tcPr>
            <w:tcW w:w="563" w:type="pct"/>
            <w:tcBorders>
              <w:top w:val="nil"/>
              <w:left w:val="nil"/>
              <w:bottom w:val="nil"/>
              <w:right w:val="nil"/>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2,141,174,680.60</w:t>
            </w:r>
          </w:p>
        </w:tc>
        <w:tc>
          <w:tcPr>
            <w:tcW w:w="548"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1,852,494,186.33</w:t>
            </w:r>
          </w:p>
        </w:tc>
        <w:tc>
          <w:tcPr>
            <w:tcW w:w="549" w:type="pct"/>
            <w:tcBorders>
              <w:top w:val="nil"/>
              <w:left w:val="nil"/>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2,200,459,708.00</w:t>
            </w:r>
          </w:p>
        </w:tc>
      </w:tr>
      <w:tr w:rsidR="0082297D" w:rsidRPr="00AA30C3" w:rsidTr="0082297D">
        <w:trPr>
          <w:trHeight w:val="240"/>
          <w:jc w:val="center"/>
        </w:trPr>
        <w:tc>
          <w:tcPr>
            <w:tcW w:w="1682"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B. Cuotas y Aportaciones de Seguridad Social</w:t>
            </w:r>
          </w:p>
        </w:tc>
        <w:tc>
          <w:tcPr>
            <w:tcW w:w="541"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67" w:type="pct"/>
            <w:tcBorders>
              <w:top w:val="nil"/>
              <w:left w:val="nil"/>
              <w:bottom w:val="nil"/>
              <w:right w:val="nil"/>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50"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63" w:type="pct"/>
            <w:tcBorders>
              <w:top w:val="nil"/>
              <w:left w:val="nil"/>
              <w:bottom w:val="nil"/>
              <w:right w:val="nil"/>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48"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49"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r>
      <w:tr w:rsidR="0082297D" w:rsidRPr="00AA30C3" w:rsidTr="0082297D">
        <w:trPr>
          <w:trHeight w:val="240"/>
          <w:jc w:val="center"/>
        </w:trPr>
        <w:tc>
          <w:tcPr>
            <w:tcW w:w="1682"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C. Contribuciones de Mejoras</w:t>
            </w:r>
          </w:p>
        </w:tc>
        <w:tc>
          <w:tcPr>
            <w:tcW w:w="541"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67" w:type="pct"/>
            <w:tcBorders>
              <w:top w:val="nil"/>
              <w:left w:val="nil"/>
              <w:bottom w:val="nil"/>
              <w:right w:val="nil"/>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50"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63" w:type="pct"/>
            <w:tcBorders>
              <w:top w:val="nil"/>
              <w:left w:val="nil"/>
              <w:bottom w:val="nil"/>
              <w:right w:val="nil"/>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48"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49"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r>
      <w:tr w:rsidR="0082297D" w:rsidRPr="00AA30C3" w:rsidTr="0082297D">
        <w:trPr>
          <w:trHeight w:val="240"/>
          <w:jc w:val="center"/>
        </w:trPr>
        <w:tc>
          <w:tcPr>
            <w:tcW w:w="1682"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D. Derechos</w:t>
            </w:r>
          </w:p>
        </w:tc>
        <w:tc>
          <w:tcPr>
            <w:tcW w:w="541"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870,907,888.52</w:t>
            </w:r>
          </w:p>
        </w:tc>
        <w:tc>
          <w:tcPr>
            <w:tcW w:w="567" w:type="pct"/>
            <w:tcBorders>
              <w:top w:val="nil"/>
              <w:left w:val="nil"/>
              <w:bottom w:val="nil"/>
              <w:right w:val="nil"/>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1,299,332,443.47</w:t>
            </w:r>
          </w:p>
        </w:tc>
        <w:tc>
          <w:tcPr>
            <w:tcW w:w="550"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1,015,702,760.17</w:t>
            </w:r>
          </w:p>
        </w:tc>
        <w:tc>
          <w:tcPr>
            <w:tcW w:w="563" w:type="pct"/>
            <w:tcBorders>
              <w:top w:val="nil"/>
              <w:left w:val="nil"/>
              <w:bottom w:val="nil"/>
              <w:right w:val="nil"/>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1,347,895,991.02</w:t>
            </w:r>
          </w:p>
        </w:tc>
        <w:tc>
          <w:tcPr>
            <w:tcW w:w="548"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846,373,461.13</w:t>
            </w:r>
          </w:p>
        </w:tc>
        <w:tc>
          <w:tcPr>
            <w:tcW w:w="549" w:type="pct"/>
            <w:tcBorders>
              <w:top w:val="nil"/>
              <w:left w:val="nil"/>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1,170,213,885.95</w:t>
            </w:r>
          </w:p>
        </w:tc>
      </w:tr>
      <w:tr w:rsidR="0082297D" w:rsidRPr="00AA30C3" w:rsidTr="0082297D">
        <w:trPr>
          <w:trHeight w:val="240"/>
          <w:jc w:val="center"/>
        </w:trPr>
        <w:tc>
          <w:tcPr>
            <w:tcW w:w="1682"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E. Productos</w:t>
            </w:r>
          </w:p>
        </w:tc>
        <w:tc>
          <w:tcPr>
            <w:tcW w:w="541"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176,778,403.96</w:t>
            </w:r>
          </w:p>
        </w:tc>
        <w:tc>
          <w:tcPr>
            <w:tcW w:w="567" w:type="pct"/>
            <w:tcBorders>
              <w:top w:val="nil"/>
              <w:left w:val="nil"/>
              <w:bottom w:val="nil"/>
              <w:right w:val="nil"/>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392,541,346.75</w:t>
            </w:r>
          </w:p>
        </w:tc>
        <w:tc>
          <w:tcPr>
            <w:tcW w:w="550"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849,802,159.38</w:t>
            </w:r>
          </w:p>
        </w:tc>
        <w:tc>
          <w:tcPr>
            <w:tcW w:w="563" w:type="pct"/>
            <w:tcBorders>
              <w:top w:val="nil"/>
              <w:left w:val="nil"/>
              <w:bottom w:val="nil"/>
              <w:right w:val="nil"/>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122,870,389.87</w:t>
            </w:r>
          </w:p>
        </w:tc>
        <w:tc>
          <w:tcPr>
            <w:tcW w:w="548"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94,364,035.88</w:t>
            </w:r>
          </w:p>
        </w:tc>
        <w:tc>
          <w:tcPr>
            <w:tcW w:w="549" w:type="pct"/>
            <w:tcBorders>
              <w:top w:val="nil"/>
              <w:left w:val="nil"/>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136,379,328.68</w:t>
            </w:r>
          </w:p>
        </w:tc>
      </w:tr>
      <w:tr w:rsidR="0082297D" w:rsidRPr="00AA30C3" w:rsidTr="0082297D">
        <w:trPr>
          <w:trHeight w:val="240"/>
          <w:jc w:val="center"/>
        </w:trPr>
        <w:tc>
          <w:tcPr>
            <w:tcW w:w="1682"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F. Aprovechamientos</w:t>
            </w:r>
          </w:p>
        </w:tc>
        <w:tc>
          <w:tcPr>
            <w:tcW w:w="541"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110,216,311.80</w:t>
            </w:r>
          </w:p>
        </w:tc>
        <w:tc>
          <w:tcPr>
            <w:tcW w:w="567" w:type="pct"/>
            <w:tcBorders>
              <w:top w:val="nil"/>
              <w:left w:val="nil"/>
              <w:bottom w:val="nil"/>
              <w:right w:val="nil"/>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199,959,376.56</w:t>
            </w:r>
          </w:p>
        </w:tc>
        <w:tc>
          <w:tcPr>
            <w:tcW w:w="550"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190,335,457.31</w:t>
            </w:r>
          </w:p>
        </w:tc>
        <w:tc>
          <w:tcPr>
            <w:tcW w:w="563" w:type="pct"/>
            <w:tcBorders>
              <w:top w:val="nil"/>
              <w:left w:val="nil"/>
              <w:bottom w:val="nil"/>
              <w:right w:val="nil"/>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172,003,240.37</w:t>
            </w:r>
          </w:p>
        </w:tc>
        <w:tc>
          <w:tcPr>
            <w:tcW w:w="548"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112,270,059.92</w:t>
            </w:r>
          </w:p>
        </w:tc>
        <w:tc>
          <w:tcPr>
            <w:tcW w:w="549" w:type="pct"/>
            <w:tcBorders>
              <w:top w:val="nil"/>
              <w:left w:val="nil"/>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118,545,160.09</w:t>
            </w:r>
          </w:p>
        </w:tc>
      </w:tr>
      <w:tr w:rsidR="0082297D" w:rsidRPr="00AA30C3" w:rsidTr="0082297D">
        <w:trPr>
          <w:trHeight w:val="240"/>
          <w:jc w:val="center"/>
        </w:trPr>
        <w:tc>
          <w:tcPr>
            <w:tcW w:w="1682"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G. Ingresos por Venta de Bienes y Prestación de Servicios</w:t>
            </w:r>
          </w:p>
        </w:tc>
        <w:tc>
          <w:tcPr>
            <w:tcW w:w="541"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67" w:type="pct"/>
            <w:tcBorders>
              <w:top w:val="nil"/>
              <w:left w:val="nil"/>
              <w:bottom w:val="nil"/>
              <w:right w:val="nil"/>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50"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63" w:type="pct"/>
            <w:tcBorders>
              <w:top w:val="nil"/>
              <w:left w:val="nil"/>
              <w:bottom w:val="nil"/>
              <w:right w:val="nil"/>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48"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49"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r>
      <w:tr w:rsidR="0082297D" w:rsidRPr="00AA30C3" w:rsidTr="0082297D">
        <w:trPr>
          <w:trHeight w:val="240"/>
          <w:jc w:val="center"/>
        </w:trPr>
        <w:tc>
          <w:tcPr>
            <w:tcW w:w="1682"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H. Participaciones</w:t>
            </w:r>
          </w:p>
        </w:tc>
        <w:tc>
          <w:tcPr>
            <w:tcW w:w="541"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11,488,026,060.03</w:t>
            </w:r>
          </w:p>
        </w:tc>
        <w:tc>
          <w:tcPr>
            <w:tcW w:w="567" w:type="pct"/>
            <w:tcBorders>
              <w:top w:val="nil"/>
              <w:left w:val="nil"/>
              <w:bottom w:val="nil"/>
              <w:right w:val="nil"/>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12,608,152,543.21</w:t>
            </w:r>
          </w:p>
        </w:tc>
        <w:tc>
          <w:tcPr>
            <w:tcW w:w="550"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14,291,031,626.01</w:t>
            </w:r>
          </w:p>
        </w:tc>
        <w:tc>
          <w:tcPr>
            <w:tcW w:w="563" w:type="pct"/>
            <w:tcBorders>
              <w:top w:val="nil"/>
              <w:left w:val="nil"/>
              <w:bottom w:val="nil"/>
              <w:right w:val="nil"/>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14,988,596,542.39</w:t>
            </w:r>
          </w:p>
        </w:tc>
        <w:tc>
          <w:tcPr>
            <w:tcW w:w="548"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15,431,424,773.14</w:t>
            </w:r>
          </w:p>
        </w:tc>
        <w:tc>
          <w:tcPr>
            <w:tcW w:w="549" w:type="pct"/>
            <w:tcBorders>
              <w:top w:val="nil"/>
              <w:left w:val="nil"/>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14,930,313,007.78</w:t>
            </w:r>
          </w:p>
        </w:tc>
      </w:tr>
      <w:tr w:rsidR="0082297D" w:rsidRPr="00AA30C3" w:rsidTr="0082297D">
        <w:trPr>
          <w:trHeight w:val="240"/>
          <w:jc w:val="center"/>
        </w:trPr>
        <w:tc>
          <w:tcPr>
            <w:tcW w:w="1682"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I. Incentivos Derivados de la Colaboración Fiscal</w:t>
            </w:r>
          </w:p>
        </w:tc>
        <w:tc>
          <w:tcPr>
            <w:tcW w:w="541"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369,205,654.95</w:t>
            </w:r>
          </w:p>
        </w:tc>
        <w:tc>
          <w:tcPr>
            <w:tcW w:w="567" w:type="pct"/>
            <w:tcBorders>
              <w:top w:val="nil"/>
              <w:left w:val="nil"/>
              <w:bottom w:val="nil"/>
              <w:right w:val="nil"/>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462,376,762.30</w:t>
            </w:r>
          </w:p>
        </w:tc>
        <w:tc>
          <w:tcPr>
            <w:tcW w:w="550"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457,230,757.87</w:t>
            </w:r>
          </w:p>
        </w:tc>
        <w:tc>
          <w:tcPr>
            <w:tcW w:w="563" w:type="pct"/>
            <w:tcBorders>
              <w:top w:val="nil"/>
              <w:left w:val="nil"/>
              <w:bottom w:val="nil"/>
              <w:right w:val="nil"/>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561,879,355.19</w:t>
            </w:r>
          </w:p>
        </w:tc>
        <w:tc>
          <w:tcPr>
            <w:tcW w:w="548"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389,053,898.52</w:t>
            </w:r>
          </w:p>
        </w:tc>
        <w:tc>
          <w:tcPr>
            <w:tcW w:w="549"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544,272,993.22</w:t>
            </w:r>
          </w:p>
        </w:tc>
      </w:tr>
      <w:tr w:rsidR="0082297D" w:rsidRPr="00AA30C3" w:rsidTr="0082297D">
        <w:trPr>
          <w:trHeight w:val="240"/>
          <w:jc w:val="center"/>
        </w:trPr>
        <w:tc>
          <w:tcPr>
            <w:tcW w:w="1682"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J. Transferencias y Asignaciones</w:t>
            </w:r>
          </w:p>
        </w:tc>
        <w:tc>
          <w:tcPr>
            <w:tcW w:w="541"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67" w:type="pct"/>
            <w:tcBorders>
              <w:top w:val="nil"/>
              <w:left w:val="nil"/>
              <w:bottom w:val="nil"/>
              <w:right w:val="nil"/>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50"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63" w:type="pct"/>
            <w:tcBorders>
              <w:top w:val="nil"/>
              <w:left w:val="nil"/>
              <w:bottom w:val="nil"/>
              <w:right w:val="nil"/>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48"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49"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r>
      <w:tr w:rsidR="0082297D" w:rsidRPr="00AA30C3" w:rsidTr="0082297D">
        <w:trPr>
          <w:trHeight w:val="240"/>
          <w:jc w:val="center"/>
        </w:trPr>
        <w:tc>
          <w:tcPr>
            <w:tcW w:w="1682"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K. Convenios</w:t>
            </w:r>
          </w:p>
        </w:tc>
        <w:tc>
          <w:tcPr>
            <w:tcW w:w="541"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67" w:type="pct"/>
            <w:tcBorders>
              <w:top w:val="nil"/>
              <w:left w:val="nil"/>
              <w:bottom w:val="nil"/>
              <w:right w:val="nil"/>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50"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63" w:type="pct"/>
            <w:tcBorders>
              <w:top w:val="nil"/>
              <w:left w:val="nil"/>
              <w:bottom w:val="nil"/>
              <w:right w:val="nil"/>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48"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49"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r>
      <w:tr w:rsidR="0082297D" w:rsidRPr="00AA30C3" w:rsidTr="0082297D">
        <w:trPr>
          <w:trHeight w:val="240"/>
          <w:jc w:val="center"/>
        </w:trPr>
        <w:tc>
          <w:tcPr>
            <w:tcW w:w="1682"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L. Otros Ingresos de Libre Disposición</w:t>
            </w:r>
          </w:p>
        </w:tc>
        <w:tc>
          <w:tcPr>
            <w:tcW w:w="541"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67" w:type="pct"/>
            <w:tcBorders>
              <w:top w:val="nil"/>
              <w:left w:val="nil"/>
              <w:bottom w:val="nil"/>
              <w:right w:val="nil"/>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50"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63" w:type="pct"/>
            <w:tcBorders>
              <w:top w:val="nil"/>
              <w:left w:val="nil"/>
              <w:bottom w:val="nil"/>
              <w:right w:val="nil"/>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48"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49"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r>
      <w:tr w:rsidR="0082297D" w:rsidRPr="00AA30C3" w:rsidTr="0082297D">
        <w:trPr>
          <w:trHeight w:val="240"/>
          <w:jc w:val="center"/>
        </w:trPr>
        <w:tc>
          <w:tcPr>
            <w:tcW w:w="1682"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b/>
                <w:bCs/>
                <w:color w:val="000000"/>
                <w:sz w:val="12"/>
                <w:szCs w:val="12"/>
              </w:rPr>
            </w:pPr>
            <w:r w:rsidRPr="00AA30C3">
              <w:rPr>
                <w:rFonts w:ascii="Barlow" w:hAnsi="Barlow"/>
                <w:b/>
                <w:bCs/>
                <w:color w:val="000000"/>
                <w:sz w:val="12"/>
                <w:szCs w:val="12"/>
              </w:rPr>
              <w:t>2. Transferencias Federales Etiquetadas (2=A+B+C+D+E)</w:t>
            </w:r>
          </w:p>
        </w:tc>
        <w:tc>
          <w:tcPr>
            <w:tcW w:w="541"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19,755,289,501.01</w:t>
            </w:r>
          </w:p>
        </w:tc>
        <w:tc>
          <w:tcPr>
            <w:tcW w:w="567" w:type="pct"/>
            <w:tcBorders>
              <w:top w:val="nil"/>
              <w:left w:val="nil"/>
              <w:bottom w:val="nil"/>
              <w:right w:val="nil"/>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20,563,110,584.51</w:t>
            </w:r>
          </w:p>
        </w:tc>
        <w:tc>
          <w:tcPr>
            <w:tcW w:w="550"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20,175,826,600.02</w:t>
            </w:r>
          </w:p>
        </w:tc>
        <w:tc>
          <w:tcPr>
            <w:tcW w:w="563" w:type="pct"/>
            <w:tcBorders>
              <w:top w:val="nil"/>
              <w:left w:val="nil"/>
              <w:bottom w:val="nil"/>
              <w:right w:val="nil"/>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18,729,216,032.40</w:t>
            </w:r>
          </w:p>
        </w:tc>
        <w:tc>
          <w:tcPr>
            <w:tcW w:w="548"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19,739,532,677.64</w:t>
            </w:r>
          </w:p>
        </w:tc>
        <w:tc>
          <w:tcPr>
            <w:tcW w:w="549"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19,202,481,108.52</w:t>
            </w:r>
          </w:p>
        </w:tc>
      </w:tr>
      <w:tr w:rsidR="0082297D" w:rsidRPr="00AA30C3" w:rsidTr="0082297D">
        <w:trPr>
          <w:trHeight w:val="240"/>
          <w:jc w:val="center"/>
        </w:trPr>
        <w:tc>
          <w:tcPr>
            <w:tcW w:w="1682"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A. Aportaciones</w:t>
            </w:r>
          </w:p>
        </w:tc>
        <w:tc>
          <w:tcPr>
            <w:tcW w:w="541"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11,250,412,604.97</w:t>
            </w:r>
          </w:p>
        </w:tc>
        <w:tc>
          <w:tcPr>
            <w:tcW w:w="567" w:type="pct"/>
            <w:tcBorders>
              <w:top w:val="nil"/>
              <w:left w:val="nil"/>
              <w:bottom w:val="nil"/>
              <w:right w:val="nil"/>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11,975,616,866.11</w:t>
            </w:r>
          </w:p>
        </w:tc>
        <w:tc>
          <w:tcPr>
            <w:tcW w:w="550"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12,752,309,665.28</w:t>
            </w:r>
          </w:p>
        </w:tc>
        <w:tc>
          <w:tcPr>
            <w:tcW w:w="563" w:type="pct"/>
            <w:tcBorders>
              <w:top w:val="nil"/>
              <w:left w:val="nil"/>
              <w:bottom w:val="nil"/>
              <w:right w:val="nil"/>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13,550,628,926.01</w:t>
            </w:r>
          </w:p>
        </w:tc>
        <w:tc>
          <w:tcPr>
            <w:tcW w:w="548"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13,975,622,844.34</w:t>
            </w:r>
          </w:p>
        </w:tc>
        <w:tc>
          <w:tcPr>
            <w:tcW w:w="549" w:type="pct"/>
            <w:tcBorders>
              <w:top w:val="nil"/>
              <w:left w:val="nil"/>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14,031,380,887.96</w:t>
            </w:r>
          </w:p>
        </w:tc>
      </w:tr>
      <w:tr w:rsidR="0082297D" w:rsidRPr="00AA30C3" w:rsidTr="0082297D">
        <w:trPr>
          <w:trHeight w:val="240"/>
          <w:jc w:val="center"/>
        </w:trPr>
        <w:tc>
          <w:tcPr>
            <w:tcW w:w="1682"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B. Convenios</w:t>
            </w:r>
          </w:p>
        </w:tc>
        <w:tc>
          <w:tcPr>
            <w:tcW w:w="541"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6,732,879,620.57</w:t>
            </w:r>
          </w:p>
        </w:tc>
        <w:tc>
          <w:tcPr>
            <w:tcW w:w="567" w:type="pct"/>
            <w:tcBorders>
              <w:top w:val="nil"/>
              <w:left w:val="nil"/>
              <w:bottom w:val="nil"/>
              <w:right w:val="nil"/>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6,712,995,153.08</w:t>
            </w:r>
          </w:p>
        </w:tc>
        <w:tc>
          <w:tcPr>
            <w:tcW w:w="550"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5,461,093,428.88</w:t>
            </w:r>
          </w:p>
        </w:tc>
        <w:tc>
          <w:tcPr>
            <w:tcW w:w="563" w:type="pct"/>
            <w:tcBorders>
              <w:top w:val="nil"/>
              <w:left w:val="nil"/>
              <w:bottom w:val="nil"/>
              <w:right w:val="nil"/>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3,151,398,729.23</w:t>
            </w:r>
          </w:p>
        </w:tc>
        <w:tc>
          <w:tcPr>
            <w:tcW w:w="548"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3,670,494,897.17</w:t>
            </w:r>
          </w:p>
        </w:tc>
        <w:tc>
          <w:tcPr>
            <w:tcW w:w="549" w:type="pct"/>
            <w:tcBorders>
              <w:top w:val="nil"/>
              <w:left w:val="nil"/>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3,059,786,090.17</w:t>
            </w:r>
          </w:p>
        </w:tc>
      </w:tr>
      <w:tr w:rsidR="0082297D" w:rsidRPr="00AA30C3" w:rsidTr="0082297D">
        <w:trPr>
          <w:trHeight w:val="240"/>
          <w:jc w:val="center"/>
        </w:trPr>
        <w:tc>
          <w:tcPr>
            <w:tcW w:w="1682"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C. Fondos Distintos de Aportaciones</w:t>
            </w:r>
          </w:p>
        </w:tc>
        <w:tc>
          <w:tcPr>
            <w:tcW w:w="541"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67" w:type="pct"/>
            <w:tcBorders>
              <w:top w:val="nil"/>
              <w:left w:val="nil"/>
              <w:bottom w:val="nil"/>
              <w:right w:val="nil"/>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50"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63" w:type="pct"/>
            <w:tcBorders>
              <w:top w:val="nil"/>
              <w:left w:val="nil"/>
              <w:bottom w:val="nil"/>
              <w:right w:val="nil"/>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48"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49"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r>
      <w:tr w:rsidR="0082297D" w:rsidRPr="00AA30C3" w:rsidTr="0082297D">
        <w:trPr>
          <w:trHeight w:val="240"/>
          <w:jc w:val="center"/>
        </w:trPr>
        <w:tc>
          <w:tcPr>
            <w:tcW w:w="1682"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D. Transferencias, Asignaciones, Subsidios y Subvenciones, y Pensiones y Jubilaciones</w:t>
            </w:r>
          </w:p>
        </w:tc>
        <w:tc>
          <w:tcPr>
            <w:tcW w:w="541"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1,739,439,520.00</w:t>
            </w:r>
          </w:p>
        </w:tc>
        <w:tc>
          <w:tcPr>
            <w:tcW w:w="567" w:type="pct"/>
            <w:tcBorders>
              <w:top w:val="nil"/>
              <w:left w:val="nil"/>
              <w:bottom w:val="nil"/>
              <w:right w:val="nil"/>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1,831,614,709.00</w:t>
            </w:r>
          </w:p>
        </w:tc>
        <w:tc>
          <w:tcPr>
            <w:tcW w:w="550"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1,915,110,847.00</w:t>
            </w:r>
          </w:p>
        </w:tc>
        <w:tc>
          <w:tcPr>
            <w:tcW w:w="563" w:type="pct"/>
            <w:tcBorders>
              <w:top w:val="nil"/>
              <w:left w:val="nil"/>
              <w:bottom w:val="nil"/>
              <w:right w:val="nil"/>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2,005,174,504.50</w:t>
            </w:r>
          </w:p>
        </w:tc>
        <w:tc>
          <w:tcPr>
            <w:tcW w:w="548"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2,084,097,524.00</w:t>
            </w:r>
          </w:p>
        </w:tc>
        <w:tc>
          <w:tcPr>
            <w:tcW w:w="549" w:type="pct"/>
            <w:tcBorders>
              <w:top w:val="nil"/>
              <w:left w:val="nil"/>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2,111,314,130.39</w:t>
            </w:r>
          </w:p>
        </w:tc>
      </w:tr>
      <w:tr w:rsidR="0082297D" w:rsidRPr="00AA30C3" w:rsidTr="0082297D">
        <w:trPr>
          <w:trHeight w:val="240"/>
          <w:jc w:val="center"/>
        </w:trPr>
        <w:tc>
          <w:tcPr>
            <w:tcW w:w="1682"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E. Otras Transferencias Federales Etiquetadas</w:t>
            </w:r>
          </w:p>
        </w:tc>
        <w:tc>
          <w:tcPr>
            <w:tcW w:w="541"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32,557,755.47</w:t>
            </w:r>
          </w:p>
        </w:tc>
        <w:tc>
          <w:tcPr>
            <w:tcW w:w="567" w:type="pct"/>
            <w:tcBorders>
              <w:top w:val="nil"/>
              <w:left w:val="nil"/>
              <w:bottom w:val="nil"/>
              <w:right w:val="nil"/>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42,883,856.32</w:t>
            </w:r>
          </w:p>
        </w:tc>
        <w:tc>
          <w:tcPr>
            <w:tcW w:w="550"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47,312,658.86</w:t>
            </w:r>
          </w:p>
        </w:tc>
        <w:tc>
          <w:tcPr>
            <w:tcW w:w="563" w:type="pct"/>
            <w:tcBorders>
              <w:top w:val="nil"/>
              <w:left w:val="nil"/>
              <w:bottom w:val="nil"/>
              <w:right w:val="nil"/>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22,013,872.66</w:t>
            </w:r>
          </w:p>
        </w:tc>
        <w:tc>
          <w:tcPr>
            <w:tcW w:w="548"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9,317,412.13</w:t>
            </w:r>
          </w:p>
        </w:tc>
        <w:tc>
          <w:tcPr>
            <w:tcW w:w="549" w:type="pct"/>
            <w:tcBorders>
              <w:top w:val="nil"/>
              <w:left w:val="nil"/>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r>
      <w:tr w:rsidR="0082297D" w:rsidRPr="00AA30C3" w:rsidTr="0082297D">
        <w:trPr>
          <w:trHeight w:val="240"/>
          <w:jc w:val="center"/>
        </w:trPr>
        <w:tc>
          <w:tcPr>
            <w:tcW w:w="1682"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b/>
                <w:bCs/>
                <w:color w:val="000000"/>
                <w:sz w:val="12"/>
                <w:szCs w:val="12"/>
              </w:rPr>
            </w:pPr>
            <w:r w:rsidRPr="00AA30C3">
              <w:rPr>
                <w:rFonts w:ascii="Barlow" w:hAnsi="Barlow"/>
                <w:b/>
                <w:bCs/>
                <w:color w:val="000000"/>
                <w:sz w:val="12"/>
                <w:szCs w:val="12"/>
              </w:rPr>
              <w:t>3. Ingresos Derivados de Financiamientos (3=A)</w:t>
            </w:r>
          </w:p>
        </w:tc>
        <w:tc>
          <w:tcPr>
            <w:tcW w:w="541"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880,113,620.36</w:t>
            </w:r>
          </w:p>
        </w:tc>
        <w:tc>
          <w:tcPr>
            <w:tcW w:w="567" w:type="pct"/>
            <w:tcBorders>
              <w:top w:val="nil"/>
              <w:left w:val="nil"/>
              <w:bottom w:val="nil"/>
              <w:right w:val="nil"/>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2,187,200,000.00</w:t>
            </w:r>
          </w:p>
        </w:tc>
        <w:tc>
          <w:tcPr>
            <w:tcW w:w="550"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0.00</w:t>
            </w:r>
          </w:p>
        </w:tc>
        <w:tc>
          <w:tcPr>
            <w:tcW w:w="563" w:type="pct"/>
            <w:tcBorders>
              <w:top w:val="nil"/>
              <w:left w:val="nil"/>
              <w:bottom w:val="nil"/>
              <w:right w:val="nil"/>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784,088,270.44</w:t>
            </w:r>
          </w:p>
        </w:tc>
        <w:tc>
          <w:tcPr>
            <w:tcW w:w="548"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4,504,620,000.00</w:t>
            </w:r>
          </w:p>
        </w:tc>
        <w:tc>
          <w:tcPr>
            <w:tcW w:w="549"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0.00</w:t>
            </w:r>
          </w:p>
        </w:tc>
      </w:tr>
      <w:tr w:rsidR="0082297D" w:rsidRPr="00AA30C3" w:rsidTr="0082297D">
        <w:trPr>
          <w:trHeight w:val="240"/>
          <w:jc w:val="center"/>
        </w:trPr>
        <w:tc>
          <w:tcPr>
            <w:tcW w:w="1682"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A. Ingresos Derivados de Financiamientos</w:t>
            </w:r>
          </w:p>
        </w:tc>
        <w:tc>
          <w:tcPr>
            <w:tcW w:w="541"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880,113,620.36</w:t>
            </w:r>
          </w:p>
        </w:tc>
        <w:tc>
          <w:tcPr>
            <w:tcW w:w="567" w:type="pct"/>
            <w:tcBorders>
              <w:top w:val="nil"/>
              <w:left w:val="nil"/>
              <w:bottom w:val="nil"/>
              <w:right w:val="nil"/>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2,187,200,000.00</w:t>
            </w:r>
          </w:p>
        </w:tc>
        <w:tc>
          <w:tcPr>
            <w:tcW w:w="550"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63" w:type="pct"/>
            <w:tcBorders>
              <w:top w:val="nil"/>
              <w:left w:val="nil"/>
              <w:bottom w:val="nil"/>
              <w:right w:val="nil"/>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784,088,270.44</w:t>
            </w:r>
          </w:p>
        </w:tc>
        <w:tc>
          <w:tcPr>
            <w:tcW w:w="548"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4,504,620,000.00</w:t>
            </w:r>
          </w:p>
        </w:tc>
        <w:tc>
          <w:tcPr>
            <w:tcW w:w="549" w:type="pct"/>
            <w:tcBorders>
              <w:top w:val="nil"/>
              <w:left w:val="nil"/>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r>
      <w:tr w:rsidR="0082297D" w:rsidRPr="00AA30C3" w:rsidTr="0082297D">
        <w:trPr>
          <w:trHeight w:val="240"/>
          <w:jc w:val="center"/>
        </w:trPr>
        <w:tc>
          <w:tcPr>
            <w:tcW w:w="1682"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b/>
                <w:bCs/>
                <w:color w:val="000000"/>
                <w:sz w:val="12"/>
                <w:szCs w:val="12"/>
              </w:rPr>
            </w:pPr>
            <w:r w:rsidRPr="00AA30C3">
              <w:rPr>
                <w:rFonts w:ascii="Barlow" w:hAnsi="Barlow"/>
                <w:b/>
                <w:bCs/>
                <w:color w:val="000000"/>
                <w:sz w:val="12"/>
                <w:szCs w:val="12"/>
              </w:rPr>
              <w:t>4. Total de Ingresos Proyectados (4=1+2+3)</w:t>
            </w:r>
          </w:p>
        </w:tc>
        <w:tc>
          <w:tcPr>
            <w:tcW w:w="541"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35,380,944,881.10</w:t>
            </w:r>
          </w:p>
        </w:tc>
        <w:tc>
          <w:tcPr>
            <w:tcW w:w="567" w:type="pct"/>
            <w:tcBorders>
              <w:top w:val="nil"/>
              <w:left w:val="nil"/>
              <w:bottom w:val="nil"/>
              <w:right w:val="nil"/>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39,560,446,556.45</w:t>
            </w:r>
          </w:p>
        </w:tc>
        <w:tc>
          <w:tcPr>
            <w:tcW w:w="550"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38,892,813,971.86</w:t>
            </w:r>
          </w:p>
        </w:tc>
        <w:tc>
          <w:tcPr>
            <w:tcW w:w="563" w:type="pct"/>
            <w:tcBorders>
              <w:top w:val="nil"/>
              <w:left w:val="nil"/>
              <w:bottom w:val="nil"/>
              <w:right w:val="nil"/>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38,847,724,502.28</w:t>
            </w:r>
          </w:p>
        </w:tc>
        <w:tc>
          <w:tcPr>
            <w:tcW w:w="548" w:type="pct"/>
            <w:tcBorders>
              <w:top w:val="nil"/>
              <w:left w:val="single" w:sz="4" w:space="0" w:color="auto"/>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42,970,133,092.56</w:t>
            </w:r>
          </w:p>
        </w:tc>
        <w:tc>
          <w:tcPr>
            <w:tcW w:w="549" w:type="pct"/>
            <w:tcBorders>
              <w:top w:val="nil"/>
              <w:left w:val="nil"/>
              <w:bottom w:val="nil"/>
              <w:right w:val="single" w:sz="4" w:space="0" w:color="auto"/>
            </w:tcBorders>
            <w:shd w:val="clear" w:color="auto" w:fill="auto"/>
            <w:vAlign w:val="bottom"/>
            <w:hideMark/>
          </w:tcPr>
          <w:p w:rsidR="0082297D" w:rsidRPr="00AA30C3" w:rsidRDefault="0082297D" w:rsidP="0082297D">
            <w:pPr>
              <w:jc w:val="right"/>
              <w:rPr>
                <w:rFonts w:ascii="Barlow" w:hAnsi="Barlow"/>
                <w:b/>
                <w:bCs/>
                <w:color w:val="000000"/>
                <w:sz w:val="12"/>
                <w:szCs w:val="12"/>
              </w:rPr>
            </w:pPr>
            <w:r w:rsidRPr="00AA30C3">
              <w:rPr>
                <w:rFonts w:ascii="Barlow" w:hAnsi="Barlow"/>
                <w:b/>
                <w:bCs/>
                <w:color w:val="000000"/>
                <w:sz w:val="12"/>
                <w:szCs w:val="12"/>
              </w:rPr>
              <w:t>38,302,665,192.24</w:t>
            </w:r>
          </w:p>
        </w:tc>
      </w:tr>
      <w:tr w:rsidR="0082297D" w:rsidRPr="00AA30C3" w:rsidTr="0082297D">
        <w:trPr>
          <w:trHeight w:val="240"/>
          <w:jc w:val="center"/>
        </w:trPr>
        <w:tc>
          <w:tcPr>
            <w:tcW w:w="1682"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b/>
                <w:bCs/>
                <w:color w:val="000000"/>
                <w:sz w:val="12"/>
                <w:szCs w:val="12"/>
              </w:rPr>
            </w:pPr>
            <w:r w:rsidRPr="00AA30C3">
              <w:rPr>
                <w:rFonts w:ascii="Barlow" w:hAnsi="Barlow"/>
                <w:b/>
                <w:bCs/>
                <w:color w:val="000000"/>
                <w:sz w:val="12"/>
                <w:szCs w:val="12"/>
              </w:rPr>
              <w:t>Datos Informativos</w:t>
            </w:r>
          </w:p>
        </w:tc>
        <w:tc>
          <w:tcPr>
            <w:tcW w:w="541"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 </w:t>
            </w:r>
          </w:p>
        </w:tc>
        <w:tc>
          <w:tcPr>
            <w:tcW w:w="567" w:type="pct"/>
            <w:tcBorders>
              <w:top w:val="nil"/>
              <w:left w:val="nil"/>
              <w:bottom w:val="nil"/>
              <w:right w:val="nil"/>
            </w:tcBorders>
            <w:shd w:val="clear" w:color="auto" w:fill="auto"/>
            <w:noWrap/>
            <w:vAlign w:val="bottom"/>
            <w:hideMark/>
          </w:tcPr>
          <w:p w:rsidR="0082297D" w:rsidRPr="00AA30C3" w:rsidRDefault="0082297D" w:rsidP="0082297D">
            <w:pPr>
              <w:rPr>
                <w:rFonts w:ascii="Barlow" w:hAnsi="Barlow"/>
                <w:color w:val="000000"/>
                <w:sz w:val="12"/>
                <w:szCs w:val="12"/>
              </w:rPr>
            </w:pPr>
          </w:p>
        </w:tc>
        <w:tc>
          <w:tcPr>
            <w:tcW w:w="550"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 </w:t>
            </w:r>
          </w:p>
        </w:tc>
        <w:tc>
          <w:tcPr>
            <w:tcW w:w="563" w:type="pct"/>
            <w:tcBorders>
              <w:top w:val="nil"/>
              <w:left w:val="nil"/>
              <w:bottom w:val="nil"/>
              <w:right w:val="nil"/>
            </w:tcBorders>
            <w:shd w:val="clear" w:color="auto" w:fill="auto"/>
            <w:noWrap/>
            <w:vAlign w:val="bottom"/>
            <w:hideMark/>
          </w:tcPr>
          <w:p w:rsidR="0082297D" w:rsidRPr="00AA30C3" w:rsidRDefault="0082297D" w:rsidP="0082297D">
            <w:pPr>
              <w:rPr>
                <w:rFonts w:ascii="Barlow" w:hAnsi="Barlow"/>
                <w:color w:val="000000"/>
                <w:sz w:val="12"/>
                <w:szCs w:val="12"/>
              </w:rPr>
            </w:pPr>
          </w:p>
        </w:tc>
        <w:tc>
          <w:tcPr>
            <w:tcW w:w="548"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 </w:t>
            </w:r>
          </w:p>
        </w:tc>
        <w:tc>
          <w:tcPr>
            <w:tcW w:w="549" w:type="pct"/>
            <w:tcBorders>
              <w:top w:val="nil"/>
              <w:left w:val="nil"/>
              <w:bottom w:val="nil"/>
              <w:right w:val="single" w:sz="4" w:space="0" w:color="auto"/>
            </w:tcBorders>
            <w:shd w:val="clear" w:color="auto" w:fill="auto"/>
            <w:noWrap/>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 </w:t>
            </w:r>
          </w:p>
        </w:tc>
      </w:tr>
      <w:tr w:rsidR="0082297D" w:rsidRPr="00AA30C3" w:rsidTr="0082297D">
        <w:trPr>
          <w:trHeight w:val="240"/>
          <w:jc w:val="center"/>
        </w:trPr>
        <w:tc>
          <w:tcPr>
            <w:tcW w:w="1682"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1. Ingresos Derivados de Financiamientos con Fuente de Pago de Recursos de Libre Disposición</w:t>
            </w:r>
          </w:p>
        </w:tc>
        <w:tc>
          <w:tcPr>
            <w:tcW w:w="541"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450,000,000.00</w:t>
            </w:r>
          </w:p>
        </w:tc>
        <w:tc>
          <w:tcPr>
            <w:tcW w:w="567" w:type="pct"/>
            <w:tcBorders>
              <w:top w:val="nil"/>
              <w:left w:val="nil"/>
              <w:bottom w:val="nil"/>
              <w:right w:val="nil"/>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1,387,200,000.00</w:t>
            </w:r>
          </w:p>
        </w:tc>
        <w:tc>
          <w:tcPr>
            <w:tcW w:w="550"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63" w:type="pct"/>
            <w:tcBorders>
              <w:top w:val="nil"/>
              <w:left w:val="nil"/>
              <w:bottom w:val="nil"/>
              <w:right w:val="nil"/>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784,088,270.44</w:t>
            </w:r>
          </w:p>
        </w:tc>
        <w:tc>
          <w:tcPr>
            <w:tcW w:w="548"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4,504,620,000.00</w:t>
            </w:r>
          </w:p>
        </w:tc>
        <w:tc>
          <w:tcPr>
            <w:tcW w:w="549" w:type="pct"/>
            <w:tcBorders>
              <w:top w:val="nil"/>
              <w:left w:val="nil"/>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r>
      <w:tr w:rsidR="0082297D" w:rsidRPr="00AA30C3" w:rsidTr="0082297D">
        <w:trPr>
          <w:trHeight w:val="240"/>
          <w:jc w:val="center"/>
        </w:trPr>
        <w:tc>
          <w:tcPr>
            <w:tcW w:w="1682" w:type="pct"/>
            <w:tcBorders>
              <w:top w:val="nil"/>
              <w:left w:val="single" w:sz="4" w:space="0" w:color="auto"/>
              <w:bottom w:val="nil"/>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2. Ingresos Derivados de Financiamientos con Fuente de Pago de Transferencias Federales Etiquetadas</w:t>
            </w:r>
          </w:p>
        </w:tc>
        <w:tc>
          <w:tcPr>
            <w:tcW w:w="541"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430,113,620.36</w:t>
            </w:r>
          </w:p>
        </w:tc>
        <w:tc>
          <w:tcPr>
            <w:tcW w:w="567" w:type="pct"/>
            <w:tcBorders>
              <w:top w:val="nil"/>
              <w:left w:val="nil"/>
              <w:bottom w:val="nil"/>
              <w:right w:val="nil"/>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800,000,000.00</w:t>
            </w:r>
          </w:p>
        </w:tc>
        <w:tc>
          <w:tcPr>
            <w:tcW w:w="550"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63" w:type="pct"/>
            <w:tcBorders>
              <w:top w:val="nil"/>
              <w:left w:val="nil"/>
              <w:bottom w:val="nil"/>
              <w:right w:val="nil"/>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48" w:type="pct"/>
            <w:tcBorders>
              <w:top w:val="nil"/>
              <w:left w:val="single" w:sz="4" w:space="0" w:color="auto"/>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49" w:type="pct"/>
            <w:tcBorders>
              <w:top w:val="nil"/>
              <w:left w:val="nil"/>
              <w:bottom w:val="nil"/>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r>
      <w:tr w:rsidR="0082297D" w:rsidRPr="00AA30C3" w:rsidTr="0082297D">
        <w:trPr>
          <w:trHeight w:val="240"/>
          <w:jc w:val="center"/>
        </w:trPr>
        <w:tc>
          <w:tcPr>
            <w:tcW w:w="1682" w:type="pct"/>
            <w:tcBorders>
              <w:top w:val="nil"/>
              <w:left w:val="single" w:sz="4" w:space="0" w:color="auto"/>
              <w:bottom w:val="single" w:sz="4" w:space="0" w:color="auto"/>
              <w:right w:val="nil"/>
            </w:tcBorders>
            <w:shd w:val="clear" w:color="auto" w:fill="auto"/>
            <w:vAlign w:val="bottom"/>
            <w:hideMark/>
          </w:tcPr>
          <w:p w:rsidR="0082297D" w:rsidRPr="00AA30C3" w:rsidRDefault="0082297D" w:rsidP="0082297D">
            <w:pPr>
              <w:rPr>
                <w:rFonts w:ascii="Barlow" w:hAnsi="Barlow"/>
                <w:color w:val="000000"/>
                <w:sz w:val="12"/>
                <w:szCs w:val="12"/>
              </w:rPr>
            </w:pPr>
            <w:r w:rsidRPr="00AA30C3">
              <w:rPr>
                <w:rFonts w:ascii="Barlow" w:hAnsi="Barlow"/>
                <w:color w:val="000000"/>
                <w:sz w:val="12"/>
                <w:szCs w:val="12"/>
              </w:rPr>
              <w:t>3. Ingresos Derivados de Financiamiento (3 = 1 + 2)</w:t>
            </w:r>
          </w:p>
        </w:tc>
        <w:tc>
          <w:tcPr>
            <w:tcW w:w="541" w:type="pct"/>
            <w:tcBorders>
              <w:top w:val="nil"/>
              <w:left w:val="single" w:sz="4" w:space="0" w:color="auto"/>
              <w:bottom w:val="single" w:sz="4" w:space="0" w:color="auto"/>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880,113,620.36</w:t>
            </w:r>
          </w:p>
        </w:tc>
        <w:tc>
          <w:tcPr>
            <w:tcW w:w="567" w:type="pct"/>
            <w:tcBorders>
              <w:top w:val="nil"/>
              <w:left w:val="nil"/>
              <w:bottom w:val="single" w:sz="4" w:space="0" w:color="auto"/>
              <w:right w:val="nil"/>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2,187,200,000.00</w:t>
            </w:r>
          </w:p>
        </w:tc>
        <w:tc>
          <w:tcPr>
            <w:tcW w:w="550" w:type="pct"/>
            <w:tcBorders>
              <w:top w:val="nil"/>
              <w:left w:val="single" w:sz="4" w:space="0" w:color="auto"/>
              <w:bottom w:val="single" w:sz="4" w:space="0" w:color="auto"/>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c>
          <w:tcPr>
            <w:tcW w:w="563" w:type="pct"/>
            <w:tcBorders>
              <w:top w:val="nil"/>
              <w:left w:val="nil"/>
              <w:bottom w:val="single" w:sz="4" w:space="0" w:color="auto"/>
              <w:right w:val="nil"/>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784,088,270.44</w:t>
            </w:r>
          </w:p>
        </w:tc>
        <w:tc>
          <w:tcPr>
            <w:tcW w:w="548" w:type="pct"/>
            <w:tcBorders>
              <w:top w:val="nil"/>
              <w:left w:val="single" w:sz="4" w:space="0" w:color="auto"/>
              <w:bottom w:val="single" w:sz="4" w:space="0" w:color="auto"/>
              <w:right w:val="single" w:sz="4" w:space="0" w:color="auto"/>
            </w:tcBorders>
            <w:shd w:val="clear" w:color="auto" w:fill="auto"/>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4,504,620,000.00</w:t>
            </w:r>
          </w:p>
        </w:tc>
        <w:tc>
          <w:tcPr>
            <w:tcW w:w="549" w:type="pct"/>
            <w:tcBorders>
              <w:top w:val="nil"/>
              <w:left w:val="nil"/>
              <w:bottom w:val="single" w:sz="4" w:space="0" w:color="auto"/>
              <w:right w:val="single" w:sz="4" w:space="0" w:color="auto"/>
            </w:tcBorders>
            <w:shd w:val="clear" w:color="auto" w:fill="auto"/>
            <w:noWrap/>
            <w:vAlign w:val="bottom"/>
            <w:hideMark/>
          </w:tcPr>
          <w:p w:rsidR="0082297D" w:rsidRPr="00AA30C3" w:rsidRDefault="0082297D" w:rsidP="0082297D">
            <w:pPr>
              <w:jc w:val="right"/>
              <w:rPr>
                <w:rFonts w:ascii="Barlow" w:hAnsi="Barlow"/>
                <w:color w:val="000000"/>
                <w:sz w:val="12"/>
                <w:szCs w:val="12"/>
              </w:rPr>
            </w:pPr>
            <w:r w:rsidRPr="00AA30C3">
              <w:rPr>
                <w:rFonts w:ascii="Barlow" w:hAnsi="Barlow"/>
                <w:color w:val="000000"/>
                <w:sz w:val="12"/>
                <w:szCs w:val="12"/>
              </w:rPr>
              <w:t>0.00</w:t>
            </w:r>
          </w:p>
        </w:tc>
      </w:tr>
    </w:tbl>
    <w:p w:rsidR="0082297D" w:rsidRPr="0016359A" w:rsidRDefault="0082297D" w:rsidP="0082297D">
      <w:pPr>
        <w:jc w:val="both"/>
        <w:rPr>
          <w:rFonts w:ascii="Arial" w:hAnsi="Arial" w:cs="Arial"/>
          <w:i/>
          <w:sz w:val="14"/>
          <w:szCs w:val="14"/>
        </w:rPr>
      </w:pPr>
      <w:r w:rsidRPr="0016359A">
        <w:rPr>
          <w:rFonts w:ascii="Arial" w:hAnsi="Arial" w:cs="Arial"/>
          <w:i/>
          <w:sz w:val="14"/>
          <w:szCs w:val="14"/>
        </w:rPr>
        <w:t>1. Los importes corresponden al momento contable de los ingresos devengados.</w:t>
      </w:r>
    </w:p>
    <w:p w:rsidR="0082297D" w:rsidRPr="0016359A" w:rsidRDefault="0082297D" w:rsidP="0082297D">
      <w:pPr>
        <w:jc w:val="both"/>
        <w:rPr>
          <w:rFonts w:ascii="Arial" w:hAnsi="Arial" w:cs="Arial"/>
          <w:b/>
          <w:i/>
          <w:sz w:val="14"/>
          <w:szCs w:val="14"/>
        </w:rPr>
      </w:pPr>
      <w:r w:rsidRPr="0016359A">
        <w:rPr>
          <w:rFonts w:ascii="Arial" w:hAnsi="Arial" w:cs="Arial"/>
          <w:i/>
          <w:sz w:val="14"/>
          <w:szCs w:val="14"/>
        </w:rPr>
        <w:t>2. Los importes corresponden a los ingresos devengados al cierre trimestral más reciente disponible y estimados para el resto del ejercicio</w:t>
      </w:r>
      <w:r w:rsidRPr="0016359A">
        <w:rPr>
          <w:rFonts w:ascii="Arial" w:hAnsi="Arial" w:cs="Arial"/>
          <w:b/>
          <w:i/>
          <w:sz w:val="14"/>
          <w:szCs w:val="14"/>
        </w:rPr>
        <w:t>.</w:t>
      </w:r>
    </w:p>
    <w:p w:rsidR="0082297D" w:rsidRPr="0016359A" w:rsidRDefault="0082297D" w:rsidP="0082297D">
      <w:pPr>
        <w:jc w:val="both"/>
        <w:rPr>
          <w:rFonts w:ascii="Arial" w:hAnsi="Arial" w:cs="Arial"/>
          <w:i/>
          <w:sz w:val="14"/>
          <w:szCs w:val="14"/>
        </w:rPr>
      </w:pPr>
      <w:r w:rsidRPr="0016359A">
        <w:rPr>
          <w:rFonts w:ascii="Arial" w:hAnsi="Arial" w:cs="Arial"/>
          <w:i/>
          <w:sz w:val="14"/>
          <w:szCs w:val="14"/>
        </w:rPr>
        <w:t>Esta hoja pertenece a la Iniciativa para expedir la Ley de Ingresos Estado de Yucatán para el Ejercicio Fiscal 2022.</w:t>
      </w:r>
      <w:r w:rsidRPr="0016359A">
        <w:rPr>
          <w:rFonts w:ascii="Arial" w:hAnsi="Arial" w:cs="Arial"/>
          <w:i/>
          <w:sz w:val="14"/>
          <w:szCs w:val="14"/>
        </w:rPr>
        <w:br w:type="page"/>
      </w:r>
    </w:p>
    <w:p w:rsidR="0082297D" w:rsidRPr="0016359A" w:rsidRDefault="0082297D" w:rsidP="0082297D">
      <w:pPr>
        <w:jc w:val="center"/>
        <w:rPr>
          <w:rFonts w:ascii="Arial" w:hAnsi="Arial" w:cs="Arial"/>
          <w:b/>
          <w:sz w:val="22"/>
          <w:szCs w:val="22"/>
        </w:rPr>
      </w:pPr>
      <w:r w:rsidRPr="0016359A">
        <w:rPr>
          <w:rFonts w:ascii="Arial" w:hAnsi="Arial" w:cs="Arial"/>
          <w:b/>
          <w:sz w:val="22"/>
          <w:szCs w:val="22"/>
        </w:rPr>
        <w:lastRenderedPageBreak/>
        <w:t>Anexo III</w:t>
      </w:r>
      <w:r w:rsidRPr="0016359A">
        <w:rPr>
          <w:rFonts w:ascii="Arial" w:hAnsi="Arial" w:cs="Arial"/>
          <w:b/>
          <w:sz w:val="22"/>
          <w:szCs w:val="22"/>
        </w:rPr>
        <w:br/>
        <w:t xml:space="preserve">Calendarización de amortizaciones de los siguientes ejercicios fiscales </w:t>
      </w:r>
    </w:p>
    <w:p w:rsidR="0082297D" w:rsidRDefault="0082297D" w:rsidP="0082297D">
      <w:pPr>
        <w:jc w:val="center"/>
      </w:pPr>
    </w:p>
    <w:tbl>
      <w:tblPr>
        <w:tblW w:w="14033" w:type="dxa"/>
        <w:jc w:val="center"/>
        <w:tblCellMar>
          <w:left w:w="70" w:type="dxa"/>
          <w:right w:w="70" w:type="dxa"/>
        </w:tblCellMar>
        <w:tblLook w:val="04A0" w:firstRow="1" w:lastRow="0" w:firstColumn="1" w:lastColumn="0" w:noHBand="0" w:noVBand="1"/>
      </w:tblPr>
      <w:tblGrid>
        <w:gridCol w:w="1129"/>
        <w:gridCol w:w="2685"/>
        <w:gridCol w:w="2386"/>
        <w:gridCol w:w="2678"/>
        <w:gridCol w:w="2320"/>
        <w:gridCol w:w="2835"/>
      </w:tblGrid>
      <w:tr w:rsidR="0082297D" w:rsidRPr="00D93F7E" w:rsidTr="0082297D">
        <w:trPr>
          <w:trHeight w:val="682"/>
          <w:jc w:val="center"/>
        </w:trPr>
        <w:tc>
          <w:tcPr>
            <w:tcW w:w="1129"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82297D" w:rsidRPr="00D93F7E" w:rsidRDefault="0082297D" w:rsidP="0082297D">
            <w:pPr>
              <w:jc w:val="center"/>
              <w:rPr>
                <w:rFonts w:ascii="Arial" w:hAnsi="Arial" w:cs="Arial"/>
                <w:b/>
                <w:bCs/>
                <w:sz w:val="20"/>
                <w:szCs w:val="20"/>
              </w:rPr>
            </w:pPr>
            <w:r w:rsidRPr="00D93F7E">
              <w:rPr>
                <w:rFonts w:ascii="Arial" w:hAnsi="Arial" w:cs="Arial"/>
                <w:b/>
                <w:bCs/>
                <w:sz w:val="20"/>
                <w:szCs w:val="20"/>
              </w:rPr>
              <w:t>Año</w:t>
            </w:r>
          </w:p>
        </w:tc>
        <w:tc>
          <w:tcPr>
            <w:tcW w:w="10069"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82297D" w:rsidRPr="00D93F7E" w:rsidRDefault="0082297D" w:rsidP="0082297D">
            <w:pPr>
              <w:jc w:val="center"/>
              <w:rPr>
                <w:rFonts w:ascii="Arial" w:hAnsi="Arial" w:cs="Arial"/>
                <w:b/>
                <w:bCs/>
                <w:sz w:val="20"/>
                <w:szCs w:val="20"/>
              </w:rPr>
            </w:pPr>
            <w:r w:rsidRPr="00D93F7E">
              <w:rPr>
                <w:rFonts w:ascii="Arial" w:hAnsi="Arial" w:cs="Arial"/>
                <w:b/>
                <w:bCs/>
                <w:sz w:val="20"/>
                <w:szCs w:val="20"/>
              </w:rPr>
              <w:t>Deuda pública</w:t>
            </w:r>
          </w:p>
        </w:tc>
        <w:tc>
          <w:tcPr>
            <w:tcW w:w="2835" w:type="dxa"/>
            <w:tcBorders>
              <w:top w:val="single" w:sz="4" w:space="0" w:color="auto"/>
              <w:left w:val="nil"/>
              <w:bottom w:val="single" w:sz="4" w:space="0" w:color="auto"/>
              <w:right w:val="single" w:sz="4" w:space="0" w:color="auto"/>
            </w:tcBorders>
            <w:shd w:val="clear" w:color="000000" w:fill="D9D9D9"/>
            <w:noWrap/>
            <w:vAlign w:val="center"/>
            <w:hideMark/>
          </w:tcPr>
          <w:p w:rsidR="0082297D" w:rsidRPr="00D93F7E" w:rsidRDefault="0082297D" w:rsidP="0082297D">
            <w:pPr>
              <w:jc w:val="center"/>
              <w:rPr>
                <w:rFonts w:ascii="Arial" w:hAnsi="Arial" w:cs="Arial"/>
                <w:b/>
                <w:bCs/>
                <w:sz w:val="20"/>
                <w:szCs w:val="20"/>
              </w:rPr>
            </w:pPr>
            <w:r w:rsidRPr="00D93F7E">
              <w:rPr>
                <w:rFonts w:ascii="Arial" w:hAnsi="Arial" w:cs="Arial"/>
                <w:b/>
                <w:bCs/>
                <w:sz w:val="20"/>
                <w:szCs w:val="20"/>
              </w:rPr>
              <w:t>Deuda pública con garantía</w:t>
            </w:r>
          </w:p>
        </w:tc>
      </w:tr>
      <w:tr w:rsidR="0082297D" w:rsidRPr="00D93F7E" w:rsidTr="0082297D">
        <w:trPr>
          <w:trHeight w:val="502"/>
          <w:jc w:val="center"/>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82297D" w:rsidRPr="00D93F7E" w:rsidRDefault="0082297D" w:rsidP="0082297D">
            <w:pPr>
              <w:rPr>
                <w:rFonts w:ascii="Arial" w:hAnsi="Arial" w:cs="Arial"/>
                <w:b/>
                <w:bCs/>
                <w:sz w:val="20"/>
                <w:szCs w:val="20"/>
              </w:rPr>
            </w:pPr>
          </w:p>
        </w:tc>
        <w:tc>
          <w:tcPr>
            <w:tcW w:w="2685" w:type="dxa"/>
            <w:tcBorders>
              <w:top w:val="nil"/>
              <w:left w:val="nil"/>
              <w:bottom w:val="single" w:sz="4" w:space="0" w:color="auto"/>
              <w:right w:val="single" w:sz="4" w:space="0" w:color="auto"/>
            </w:tcBorders>
            <w:shd w:val="clear" w:color="000000" w:fill="D9D9D9"/>
            <w:noWrap/>
            <w:vAlign w:val="center"/>
            <w:hideMark/>
          </w:tcPr>
          <w:p w:rsidR="0082297D" w:rsidRPr="00D93F7E" w:rsidRDefault="0082297D" w:rsidP="0082297D">
            <w:pPr>
              <w:jc w:val="center"/>
              <w:rPr>
                <w:rFonts w:ascii="Arial" w:hAnsi="Arial" w:cs="Arial"/>
                <w:b/>
                <w:bCs/>
                <w:sz w:val="20"/>
                <w:szCs w:val="20"/>
              </w:rPr>
            </w:pPr>
            <w:r w:rsidRPr="00D93F7E">
              <w:rPr>
                <w:rFonts w:ascii="Arial" w:hAnsi="Arial" w:cs="Arial"/>
                <w:b/>
                <w:bCs/>
                <w:sz w:val="20"/>
                <w:szCs w:val="20"/>
              </w:rPr>
              <w:t>Banamex 2,620mdp</w:t>
            </w:r>
          </w:p>
        </w:tc>
        <w:tc>
          <w:tcPr>
            <w:tcW w:w="2386" w:type="dxa"/>
            <w:tcBorders>
              <w:top w:val="nil"/>
              <w:left w:val="nil"/>
              <w:bottom w:val="single" w:sz="4" w:space="0" w:color="auto"/>
              <w:right w:val="single" w:sz="4" w:space="0" w:color="auto"/>
            </w:tcBorders>
            <w:shd w:val="clear" w:color="000000" w:fill="D9D9D9"/>
            <w:noWrap/>
            <w:vAlign w:val="center"/>
            <w:hideMark/>
          </w:tcPr>
          <w:p w:rsidR="0082297D" w:rsidRPr="00D93F7E" w:rsidRDefault="0082297D" w:rsidP="0082297D">
            <w:pPr>
              <w:jc w:val="center"/>
              <w:rPr>
                <w:rFonts w:ascii="Arial" w:hAnsi="Arial" w:cs="Arial"/>
                <w:b/>
                <w:bCs/>
                <w:sz w:val="20"/>
                <w:szCs w:val="20"/>
              </w:rPr>
            </w:pPr>
            <w:proofErr w:type="spellStart"/>
            <w:r w:rsidRPr="00D93F7E">
              <w:rPr>
                <w:rFonts w:ascii="Arial" w:hAnsi="Arial" w:cs="Arial"/>
                <w:b/>
                <w:bCs/>
                <w:sz w:val="20"/>
                <w:szCs w:val="20"/>
              </w:rPr>
              <w:t>Banobras</w:t>
            </w:r>
            <w:proofErr w:type="spellEnd"/>
            <w:r w:rsidRPr="00D93F7E">
              <w:rPr>
                <w:rFonts w:ascii="Arial" w:hAnsi="Arial" w:cs="Arial"/>
                <w:b/>
                <w:bCs/>
                <w:sz w:val="20"/>
                <w:szCs w:val="20"/>
              </w:rPr>
              <w:t xml:space="preserve"> 800 </w:t>
            </w:r>
            <w:proofErr w:type="spellStart"/>
            <w:r w:rsidRPr="00D93F7E">
              <w:rPr>
                <w:rFonts w:ascii="Arial" w:hAnsi="Arial" w:cs="Arial"/>
                <w:b/>
                <w:bCs/>
                <w:sz w:val="20"/>
                <w:szCs w:val="20"/>
              </w:rPr>
              <w:t>mdp</w:t>
            </w:r>
            <w:proofErr w:type="spellEnd"/>
          </w:p>
        </w:tc>
        <w:tc>
          <w:tcPr>
            <w:tcW w:w="2678" w:type="dxa"/>
            <w:tcBorders>
              <w:top w:val="nil"/>
              <w:left w:val="nil"/>
              <w:bottom w:val="single" w:sz="4" w:space="0" w:color="auto"/>
              <w:right w:val="single" w:sz="4" w:space="0" w:color="auto"/>
            </w:tcBorders>
            <w:shd w:val="clear" w:color="000000" w:fill="D9D9D9"/>
            <w:noWrap/>
            <w:vAlign w:val="center"/>
            <w:hideMark/>
          </w:tcPr>
          <w:p w:rsidR="0082297D" w:rsidRPr="00D93F7E" w:rsidRDefault="0082297D" w:rsidP="0082297D">
            <w:pPr>
              <w:jc w:val="center"/>
              <w:rPr>
                <w:rFonts w:ascii="Arial" w:hAnsi="Arial" w:cs="Arial"/>
                <w:b/>
                <w:bCs/>
                <w:sz w:val="20"/>
                <w:szCs w:val="20"/>
              </w:rPr>
            </w:pPr>
            <w:proofErr w:type="spellStart"/>
            <w:r w:rsidRPr="00D93F7E">
              <w:rPr>
                <w:rFonts w:ascii="Arial" w:hAnsi="Arial" w:cs="Arial"/>
                <w:b/>
                <w:bCs/>
                <w:sz w:val="20"/>
                <w:szCs w:val="20"/>
              </w:rPr>
              <w:t>Banobras</w:t>
            </w:r>
            <w:proofErr w:type="spellEnd"/>
            <w:r w:rsidRPr="00D93F7E">
              <w:rPr>
                <w:rFonts w:ascii="Arial" w:hAnsi="Arial" w:cs="Arial"/>
                <w:b/>
                <w:bCs/>
                <w:sz w:val="20"/>
                <w:szCs w:val="20"/>
              </w:rPr>
              <w:t xml:space="preserve"> 1,200cmdp</w:t>
            </w:r>
          </w:p>
        </w:tc>
        <w:tc>
          <w:tcPr>
            <w:tcW w:w="2320" w:type="dxa"/>
            <w:tcBorders>
              <w:top w:val="nil"/>
              <w:left w:val="nil"/>
              <w:bottom w:val="single" w:sz="4" w:space="0" w:color="auto"/>
              <w:right w:val="single" w:sz="4" w:space="0" w:color="auto"/>
            </w:tcBorders>
            <w:shd w:val="clear" w:color="000000" w:fill="D9D9D9"/>
            <w:noWrap/>
            <w:vAlign w:val="center"/>
            <w:hideMark/>
          </w:tcPr>
          <w:p w:rsidR="0082297D" w:rsidRPr="00D93F7E" w:rsidRDefault="0082297D" w:rsidP="0082297D">
            <w:pPr>
              <w:jc w:val="center"/>
              <w:rPr>
                <w:rFonts w:ascii="Arial" w:hAnsi="Arial" w:cs="Arial"/>
                <w:b/>
                <w:bCs/>
                <w:sz w:val="20"/>
                <w:szCs w:val="20"/>
              </w:rPr>
            </w:pPr>
            <w:proofErr w:type="spellStart"/>
            <w:r w:rsidRPr="00D93F7E">
              <w:rPr>
                <w:rFonts w:ascii="Arial" w:hAnsi="Arial" w:cs="Arial"/>
                <w:b/>
                <w:bCs/>
                <w:sz w:val="20"/>
                <w:szCs w:val="20"/>
              </w:rPr>
              <w:t>Banobras</w:t>
            </w:r>
            <w:proofErr w:type="spellEnd"/>
            <w:r w:rsidRPr="00D93F7E">
              <w:rPr>
                <w:rFonts w:ascii="Arial" w:hAnsi="Arial" w:cs="Arial"/>
                <w:b/>
                <w:bCs/>
                <w:sz w:val="20"/>
                <w:szCs w:val="20"/>
              </w:rPr>
              <w:t xml:space="preserve"> 1,420 </w:t>
            </w:r>
            <w:proofErr w:type="spellStart"/>
            <w:r w:rsidRPr="00D93F7E">
              <w:rPr>
                <w:rFonts w:ascii="Arial" w:hAnsi="Arial" w:cs="Arial"/>
                <w:b/>
                <w:bCs/>
                <w:sz w:val="20"/>
                <w:szCs w:val="20"/>
              </w:rPr>
              <w:t>mdp</w:t>
            </w:r>
            <w:proofErr w:type="spellEnd"/>
          </w:p>
        </w:tc>
        <w:tc>
          <w:tcPr>
            <w:tcW w:w="2835" w:type="dxa"/>
            <w:tcBorders>
              <w:top w:val="nil"/>
              <w:left w:val="nil"/>
              <w:bottom w:val="single" w:sz="4" w:space="0" w:color="auto"/>
              <w:right w:val="single" w:sz="4" w:space="0" w:color="auto"/>
            </w:tcBorders>
            <w:shd w:val="clear" w:color="000000" w:fill="D9D9D9"/>
            <w:noWrap/>
            <w:vAlign w:val="center"/>
            <w:hideMark/>
          </w:tcPr>
          <w:p w:rsidR="0082297D" w:rsidRPr="00D93F7E" w:rsidRDefault="0082297D" w:rsidP="0082297D">
            <w:pPr>
              <w:jc w:val="center"/>
              <w:rPr>
                <w:rFonts w:ascii="Arial" w:hAnsi="Arial" w:cs="Arial"/>
                <w:b/>
                <w:bCs/>
                <w:sz w:val="20"/>
                <w:szCs w:val="20"/>
              </w:rPr>
            </w:pPr>
            <w:proofErr w:type="spellStart"/>
            <w:r w:rsidRPr="00D93F7E">
              <w:rPr>
                <w:rFonts w:ascii="Arial" w:hAnsi="Arial" w:cs="Arial"/>
                <w:b/>
                <w:bCs/>
                <w:sz w:val="20"/>
                <w:szCs w:val="20"/>
              </w:rPr>
              <w:t>Banobras</w:t>
            </w:r>
            <w:proofErr w:type="spellEnd"/>
            <w:r w:rsidRPr="00D93F7E">
              <w:rPr>
                <w:rFonts w:ascii="Arial" w:hAnsi="Arial" w:cs="Arial"/>
                <w:b/>
                <w:bCs/>
                <w:sz w:val="20"/>
                <w:szCs w:val="20"/>
              </w:rPr>
              <w:t xml:space="preserve"> (PROFISE)</w:t>
            </w:r>
          </w:p>
        </w:tc>
      </w:tr>
      <w:tr w:rsidR="0082297D" w:rsidRPr="00D93F7E" w:rsidTr="0082297D">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82297D" w:rsidRPr="00D93F7E" w:rsidRDefault="0082297D" w:rsidP="0082297D">
            <w:pPr>
              <w:jc w:val="center"/>
              <w:rPr>
                <w:rFonts w:ascii="Arial" w:hAnsi="Arial" w:cs="Arial"/>
                <w:sz w:val="20"/>
                <w:szCs w:val="20"/>
              </w:rPr>
            </w:pPr>
            <w:r w:rsidRPr="00D93F7E">
              <w:rPr>
                <w:rFonts w:ascii="Arial" w:hAnsi="Arial" w:cs="Arial"/>
                <w:sz w:val="20"/>
                <w:szCs w:val="20"/>
              </w:rPr>
              <w:t>2022</w:t>
            </w:r>
          </w:p>
        </w:tc>
        <w:tc>
          <w:tcPr>
            <w:tcW w:w="268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30,965,486 </w:t>
            </w:r>
          </w:p>
        </w:tc>
        <w:tc>
          <w:tcPr>
            <w:tcW w:w="2386"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8,278,990 </w:t>
            </w:r>
          </w:p>
        </w:tc>
        <w:tc>
          <w:tcPr>
            <w:tcW w:w="2678"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12,413,555 </w:t>
            </w:r>
          </w:p>
        </w:tc>
        <w:tc>
          <w:tcPr>
            <w:tcW w:w="2320"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14,288,254 </w:t>
            </w:r>
          </w:p>
        </w:tc>
        <w:tc>
          <w:tcPr>
            <w:tcW w:w="283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 </w:t>
            </w:r>
          </w:p>
        </w:tc>
      </w:tr>
      <w:tr w:rsidR="0082297D" w:rsidRPr="00D93F7E" w:rsidTr="0082297D">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82297D" w:rsidRPr="00D93F7E" w:rsidRDefault="0082297D" w:rsidP="0082297D">
            <w:pPr>
              <w:jc w:val="center"/>
              <w:rPr>
                <w:rFonts w:ascii="Arial" w:hAnsi="Arial" w:cs="Arial"/>
                <w:sz w:val="20"/>
                <w:szCs w:val="20"/>
              </w:rPr>
            </w:pPr>
            <w:r w:rsidRPr="00D93F7E">
              <w:rPr>
                <w:rFonts w:ascii="Arial" w:hAnsi="Arial" w:cs="Arial"/>
                <w:sz w:val="20"/>
                <w:szCs w:val="20"/>
              </w:rPr>
              <w:t>2023</w:t>
            </w:r>
          </w:p>
        </w:tc>
        <w:tc>
          <w:tcPr>
            <w:tcW w:w="268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35,943,328 </w:t>
            </w:r>
          </w:p>
        </w:tc>
        <w:tc>
          <w:tcPr>
            <w:tcW w:w="2386"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9,609,876 </w:t>
            </w:r>
          </w:p>
        </w:tc>
        <w:tc>
          <w:tcPr>
            <w:tcW w:w="2678"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14,409,093 </w:t>
            </w:r>
          </w:p>
        </w:tc>
        <w:tc>
          <w:tcPr>
            <w:tcW w:w="2320"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16,585,158 </w:t>
            </w:r>
          </w:p>
        </w:tc>
        <w:tc>
          <w:tcPr>
            <w:tcW w:w="283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 </w:t>
            </w:r>
          </w:p>
        </w:tc>
      </w:tr>
      <w:tr w:rsidR="0082297D" w:rsidRPr="00D93F7E" w:rsidTr="0082297D">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82297D" w:rsidRPr="00D93F7E" w:rsidRDefault="0082297D" w:rsidP="0082297D">
            <w:pPr>
              <w:jc w:val="center"/>
              <w:rPr>
                <w:rFonts w:ascii="Arial" w:hAnsi="Arial" w:cs="Arial"/>
                <w:sz w:val="20"/>
                <w:szCs w:val="20"/>
              </w:rPr>
            </w:pPr>
            <w:r w:rsidRPr="00D93F7E">
              <w:rPr>
                <w:rFonts w:ascii="Arial" w:hAnsi="Arial" w:cs="Arial"/>
                <w:sz w:val="20"/>
                <w:szCs w:val="20"/>
              </w:rPr>
              <w:t>2024</w:t>
            </w:r>
          </w:p>
        </w:tc>
        <w:tc>
          <w:tcPr>
            <w:tcW w:w="268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41,721,380 </w:t>
            </w:r>
          </w:p>
        </w:tc>
        <w:tc>
          <w:tcPr>
            <w:tcW w:w="2386"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11,154,707 </w:t>
            </w:r>
          </w:p>
        </w:tc>
        <w:tc>
          <w:tcPr>
            <w:tcW w:w="2678"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16,725,420 </w:t>
            </w:r>
          </w:p>
        </w:tc>
        <w:tc>
          <w:tcPr>
            <w:tcW w:w="2320"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19,251,298 </w:t>
            </w:r>
          </w:p>
        </w:tc>
        <w:tc>
          <w:tcPr>
            <w:tcW w:w="283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 </w:t>
            </w:r>
          </w:p>
        </w:tc>
      </w:tr>
      <w:tr w:rsidR="0082297D" w:rsidRPr="00D93F7E" w:rsidTr="0082297D">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82297D" w:rsidRPr="00D93F7E" w:rsidRDefault="0082297D" w:rsidP="0082297D">
            <w:pPr>
              <w:jc w:val="center"/>
              <w:rPr>
                <w:rFonts w:ascii="Arial" w:hAnsi="Arial" w:cs="Arial"/>
                <w:sz w:val="20"/>
                <w:szCs w:val="20"/>
              </w:rPr>
            </w:pPr>
            <w:r w:rsidRPr="00D93F7E">
              <w:rPr>
                <w:rFonts w:ascii="Arial" w:hAnsi="Arial" w:cs="Arial"/>
                <w:sz w:val="20"/>
                <w:szCs w:val="20"/>
              </w:rPr>
              <w:t>2025</w:t>
            </w:r>
          </w:p>
        </w:tc>
        <w:tc>
          <w:tcPr>
            <w:tcW w:w="268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48,428,281 </w:t>
            </w:r>
          </w:p>
        </w:tc>
        <w:tc>
          <w:tcPr>
            <w:tcW w:w="2386"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12,947,876 </w:t>
            </w:r>
          </w:p>
        </w:tc>
        <w:tc>
          <w:tcPr>
            <w:tcW w:w="2678"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19,414,105 </w:t>
            </w:r>
          </w:p>
        </w:tc>
        <w:tc>
          <w:tcPr>
            <w:tcW w:w="2320"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22,346,030 </w:t>
            </w:r>
          </w:p>
        </w:tc>
        <w:tc>
          <w:tcPr>
            <w:tcW w:w="283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 </w:t>
            </w:r>
          </w:p>
        </w:tc>
      </w:tr>
      <w:tr w:rsidR="0082297D" w:rsidRPr="00D93F7E" w:rsidTr="0082297D">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82297D" w:rsidRPr="00D93F7E" w:rsidRDefault="0082297D" w:rsidP="0082297D">
            <w:pPr>
              <w:jc w:val="center"/>
              <w:rPr>
                <w:rFonts w:ascii="Arial" w:hAnsi="Arial" w:cs="Arial"/>
                <w:sz w:val="20"/>
                <w:szCs w:val="20"/>
              </w:rPr>
            </w:pPr>
            <w:r w:rsidRPr="00D93F7E">
              <w:rPr>
                <w:rFonts w:ascii="Arial" w:hAnsi="Arial" w:cs="Arial"/>
                <w:sz w:val="20"/>
                <w:szCs w:val="20"/>
              </w:rPr>
              <w:t>2026</w:t>
            </w:r>
          </w:p>
        </w:tc>
        <w:tc>
          <w:tcPr>
            <w:tcW w:w="268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56,213,346 </w:t>
            </w:r>
          </w:p>
        </w:tc>
        <w:tc>
          <w:tcPr>
            <w:tcW w:w="2386"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15,029,306 </w:t>
            </w:r>
          </w:p>
        </w:tc>
        <w:tc>
          <w:tcPr>
            <w:tcW w:w="2678"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22,535,010 </w:t>
            </w:r>
          </w:p>
        </w:tc>
        <w:tc>
          <w:tcPr>
            <w:tcW w:w="2320"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25,938,255 </w:t>
            </w:r>
          </w:p>
        </w:tc>
        <w:tc>
          <w:tcPr>
            <w:tcW w:w="283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 </w:t>
            </w:r>
          </w:p>
        </w:tc>
      </w:tr>
      <w:tr w:rsidR="0082297D" w:rsidRPr="00D93F7E" w:rsidTr="0082297D">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82297D" w:rsidRPr="00D93F7E" w:rsidRDefault="0082297D" w:rsidP="0082297D">
            <w:pPr>
              <w:jc w:val="center"/>
              <w:rPr>
                <w:rFonts w:ascii="Arial" w:hAnsi="Arial" w:cs="Arial"/>
                <w:sz w:val="20"/>
                <w:szCs w:val="20"/>
              </w:rPr>
            </w:pPr>
            <w:r w:rsidRPr="00D93F7E">
              <w:rPr>
                <w:rFonts w:ascii="Arial" w:hAnsi="Arial" w:cs="Arial"/>
                <w:sz w:val="20"/>
                <w:szCs w:val="20"/>
              </w:rPr>
              <w:t>2027</w:t>
            </w:r>
          </w:p>
        </w:tc>
        <w:tc>
          <w:tcPr>
            <w:tcW w:w="268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65,249,895 </w:t>
            </w:r>
          </w:p>
        </w:tc>
        <w:tc>
          <w:tcPr>
            <w:tcW w:w="2386"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17,445,334 </w:t>
            </w:r>
          </w:p>
        </w:tc>
        <w:tc>
          <w:tcPr>
            <w:tcW w:w="2678"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26,157,615 </w:t>
            </w:r>
          </w:p>
        </w:tc>
        <w:tc>
          <w:tcPr>
            <w:tcW w:w="2320"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30,107,946 </w:t>
            </w:r>
          </w:p>
        </w:tc>
        <w:tc>
          <w:tcPr>
            <w:tcW w:w="283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 </w:t>
            </w:r>
          </w:p>
        </w:tc>
      </w:tr>
      <w:tr w:rsidR="0082297D" w:rsidRPr="00D93F7E" w:rsidTr="0082297D">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82297D" w:rsidRPr="00D93F7E" w:rsidRDefault="0082297D" w:rsidP="0082297D">
            <w:pPr>
              <w:jc w:val="center"/>
              <w:rPr>
                <w:rFonts w:ascii="Arial" w:hAnsi="Arial" w:cs="Arial"/>
                <w:sz w:val="20"/>
                <w:szCs w:val="20"/>
              </w:rPr>
            </w:pPr>
            <w:r w:rsidRPr="00D93F7E">
              <w:rPr>
                <w:rFonts w:ascii="Arial" w:hAnsi="Arial" w:cs="Arial"/>
                <w:sz w:val="20"/>
                <w:szCs w:val="20"/>
              </w:rPr>
              <w:t>2028</w:t>
            </w:r>
          </w:p>
        </w:tc>
        <w:tc>
          <w:tcPr>
            <w:tcW w:w="268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75,739,110 </w:t>
            </w:r>
          </w:p>
        </w:tc>
        <w:tc>
          <w:tcPr>
            <w:tcW w:w="2386"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20,249,750 </w:t>
            </w:r>
          </w:p>
        </w:tc>
        <w:tc>
          <w:tcPr>
            <w:tcW w:w="2678"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30,362,569 </w:t>
            </w:r>
          </w:p>
        </w:tc>
        <w:tc>
          <w:tcPr>
            <w:tcW w:w="2320"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34,947,934 </w:t>
            </w:r>
          </w:p>
        </w:tc>
        <w:tc>
          <w:tcPr>
            <w:tcW w:w="283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 </w:t>
            </w:r>
          </w:p>
        </w:tc>
      </w:tr>
      <w:tr w:rsidR="0082297D" w:rsidRPr="00D93F7E" w:rsidTr="0082297D">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82297D" w:rsidRPr="00D93F7E" w:rsidRDefault="0082297D" w:rsidP="0082297D">
            <w:pPr>
              <w:jc w:val="center"/>
              <w:rPr>
                <w:rFonts w:ascii="Arial" w:hAnsi="Arial" w:cs="Arial"/>
                <w:sz w:val="20"/>
                <w:szCs w:val="20"/>
              </w:rPr>
            </w:pPr>
            <w:r w:rsidRPr="00D93F7E">
              <w:rPr>
                <w:rFonts w:ascii="Arial" w:hAnsi="Arial" w:cs="Arial"/>
                <w:sz w:val="20"/>
                <w:szCs w:val="20"/>
              </w:rPr>
              <w:t>2029</w:t>
            </w:r>
          </w:p>
        </w:tc>
        <w:tc>
          <w:tcPr>
            <w:tcW w:w="268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87,914,514 </w:t>
            </w:r>
          </w:p>
        </w:tc>
        <w:tc>
          <w:tcPr>
            <w:tcW w:w="2386"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23,504,990 </w:t>
            </w:r>
          </w:p>
        </w:tc>
        <w:tc>
          <w:tcPr>
            <w:tcW w:w="2678"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35,243,490 </w:t>
            </w:r>
          </w:p>
        </w:tc>
        <w:tc>
          <w:tcPr>
            <w:tcW w:w="2320"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40,565,973 </w:t>
            </w:r>
          </w:p>
        </w:tc>
        <w:tc>
          <w:tcPr>
            <w:tcW w:w="283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 </w:t>
            </w:r>
          </w:p>
        </w:tc>
      </w:tr>
      <w:tr w:rsidR="0082297D" w:rsidRPr="00D93F7E" w:rsidTr="0082297D">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82297D" w:rsidRPr="00D93F7E" w:rsidRDefault="0082297D" w:rsidP="0082297D">
            <w:pPr>
              <w:jc w:val="center"/>
              <w:rPr>
                <w:rFonts w:ascii="Arial" w:hAnsi="Arial" w:cs="Arial"/>
                <w:sz w:val="20"/>
                <w:szCs w:val="20"/>
              </w:rPr>
            </w:pPr>
            <w:r w:rsidRPr="00D93F7E">
              <w:rPr>
                <w:rFonts w:ascii="Arial" w:hAnsi="Arial" w:cs="Arial"/>
                <w:sz w:val="20"/>
                <w:szCs w:val="20"/>
              </w:rPr>
              <w:t>2030</w:t>
            </w:r>
          </w:p>
        </w:tc>
        <w:tc>
          <w:tcPr>
            <w:tcW w:w="268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102,047,170 </w:t>
            </w:r>
          </w:p>
        </w:tc>
        <w:tc>
          <w:tcPr>
            <w:tcW w:w="2386"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27,283,522 </w:t>
            </w:r>
          </w:p>
        </w:tc>
        <w:tc>
          <w:tcPr>
            <w:tcW w:w="2678"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40,909,040 </w:t>
            </w:r>
          </w:p>
        </w:tc>
        <w:tc>
          <w:tcPr>
            <w:tcW w:w="2320"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47,087,136 </w:t>
            </w:r>
          </w:p>
        </w:tc>
        <w:tc>
          <w:tcPr>
            <w:tcW w:w="283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 </w:t>
            </w:r>
          </w:p>
        </w:tc>
      </w:tr>
      <w:tr w:rsidR="0082297D" w:rsidRPr="00D93F7E" w:rsidTr="0082297D">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82297D" w:rsidRPr="00D93F7E" w:rsidRDefault="0082297D" w:rsidP="0082297D">
            <w:pPr>
              <w:jc w:val="center"/>
              <w:rPr>
                <w:rFonts w:ascii="Arial" w:hAnsi="Arial" w:cs="Arial"/>
                <w:sz w:val="20"/>
                <w:szCs w:val="20"/>
              </w:rPr>
            </w:pPr>
            <w:r w:rsidRPr="00D93F7E">
              <w:rPr>
                <w:rFonts w:ascii="Arial" w:hAnsi="Arial" w:cs="Arial"/>
                <w:sz w:val="20"/>
                <w:szCs w:val="20"/>
              </w:rPr>
              <w:t>2031</w:t>
            </w:r>
          </w:p>
        </w:tc>
        <w:tc>
          <w:tcPr>
            <w:tcW w:w="268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118,451,713 </w:t>
            </w:r>
          </w:p>
        </w:tc>
        <w:tc>
          <w:tcPr>
            <w:tcW w:w="2386"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31,669,471 </w:t>
            </w:r>
          </w:p>
        </w:tc>
        <w:tc>
          <w:tcPr>
            <w:tcW w:w="2678"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47,485,352 </w:t>
            </w:r>
          </w:p>
        </w:tc>
        <w:tc>
          <w:tcPr>
            <w:tcW w:w="2320"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54,656,605 </w:t>
            </w:r>
          </w:p>
        </w:tc>
        <w:tc>
          <w:tcPr>
            <w:tcW w:w="283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 </w:t>
            </w:r>
          </w:p>
        </w:tc>
      </w:tr>
      <w:tr w:rsidR="0082297D" w:rsidRPr="00D93F7E" w:rsidTr="0082297D">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82297D" w:rsidRPr="00D93F7E" w:rsidRDefault="0082297D" w:rsidP="0082297D">
            <w:pPr>
              <w:jc w:val="center"/>
              <w:rPr>
                <w:rFonts w:ascii="Arial" w:hAnsi="Arial" w:cs="Arial"/>
                <w:sz w:val="20"/>
                <w:szCs w:val="20"/>
              </w:rPr>
            </w:pPr>
            <w:r w:rsidRPr="00D93F7E">
              <w:rPr>
                <w:rFonts w:ascii="Arial" w:hAnsi="Arial" w:cs="Arial"/>
                <w:sz w:val="20"/>
                <w:szCs w:val="20"/>
              </w:rPr>
              <w:t>2032</w:t>
            </w:r>
          </w:p>
        </w:tc>
        <w:tc>
          <w:tcPr>
            <w:tcW w:w="268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137,493,361 </w:t>
            </w:r>
          </w:p>
        </w:tc>
        <w:tc>
          <w:tcPr>
            <w:tcW w:w="2386"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36,760,481 </w:t>
            </w:r>
          </w:p>
        </w:tc>
        <w:tc>
          <w:tcPr>
            <w:tcW w:w="2678"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55,118,835 </w:t>
            </w:r>
          </w:p>
        </w:tc>
        <w:tc>
          <w:tcPr>
            <w:tcW w:w="2320"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63,442,899 </w:t>
            </w:r>
          </w:p>
        </w:tc>
        <w:tc>
          <w:tcPr>
            <w:tcW w:w="283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 </w:t>
            </w:r>
          </w:p>
        </w:tc>
      </w:tr>
      <w:tr w:rsidR="0082297D" w:rsidRPr="00D93F7E" w:rsidTr="0082297D">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82297D" w:rsidRPr="00D93F7E" w:rsidRDefault="0082297D" w:rsidP="0082297D">
            <w:pPr>
              <w:jc w:val="center"/>
              <w:rPr>
                <w:rFonts w:ascii="Arial" w:hAnsi="Arial" w:cs="Arial"/>
                <w:sz w:val="20"/>
                <w:szCs w:val="20"/>
              </w:rPr>
            </w:pPr>
            <w:r w:rsidRPr="00D93F7E">
              <w:rPr>
                <w:rFonts w:ascii="Arial" w:hAnsi="Arial" w:cs="Arial"/>
                <w:sz w:val="20"/>
                <w:szCs w:val="20"/>
              </w:rPr>
              <w:t>2033</w:t>
            </w:r>
          </w:p>
        </w:tc>
        <w:tc>
          <w:tcPr>
            <w:tcW w:w="268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159,596,040 </w:t>
            </w:r>
          </w:p>
        </w:tc>
        <w:tc>
          <w:tcPr>
            <w:tcW w:w="2386"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42,669,896 </w:t>
            </w:r>
          </w:p>
        </w:tc>
        <w:tc>
          <w:tcPr>
            <w:tcW w:w="2678"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63,979,439 </w:t>
            </w:r>
          </w:p>
        </w:tc>
        <w:tc>
          <w:tcPr>
            <w:tcW w:w="2320"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73,641,635 </w:t>
            </w:r>
          </w:p>
        </w:tc>
        <w:tc>
          <w:tcPr>
            <w:tcW w:w="283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306,931,762 </w:t>
            </w:r>
          </w:p>
        </w:tc>
      </w:tr>
      <w:tr w:rsidR="0082297D" w:rsidRPr="00D93F7E" w:rsidTr="0082297D">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82297D" w:rsidRPr="00D93F7E" w:rsidRDefault="0082297D" w:rsidP="0082297D">
            <w:pPr>
              <w:jc w:val="center"/>
              <w:rPr>
                <w:rFonts w:ascii="Arial" w:hAnsi="Arial" w:cs="Arial"/>
                <w:sz w:val="20"/>
                <w:szCs w:val="20"/>
              </w:rPr>
            </w:pPr>
            <w:r w:rsidRPr="00D93F7E">
              <w:rPr>
                <w:rFonts w:ascii="Arial" w:hAnsi="Arial" w:cs="Arial"/>
                <w:sz w:val="20"/>
                <w:szCs w:val="20"/>
              </w:rPr>
              <w:t>2034</w:t>
            </w:r>
          </w:p>
        </w:tc>
        <w:tc>
          <w:tcPr>
            <w:tcW w:w="268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185,251,825 </w:t>
            </w:r>
          </w:p>
        </w:tc>
        <w:tc>
          <w:tcPr>
            <w:tcW w:w="2386"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49,529,274 </w:t>
            </w:r>
          </w:p>
        </w:tc>
        <w:tc>
          <w:tcPr>
            <w:tcW w:w="2678"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74,264,422 </w:t>
            </w:r>
          </w:p>
        </w:tc>
        <w:tc>
          <w:tcPr>
            <w:tcW w:w="2320"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85,479,859 </w:t>
            </w:r>
          </w:p>
        </w:tc>
        <w:tc>
          <w:tcPr>
            <w:tcW w:w="283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 </w:t>
            </w:r>
          </w:p>
        </w:tc>
      </w:tr>
      <w:tr w:rsidR="0082297D" w:rsidRPr="00D93F7E" w:rsidTr="0082297D">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82297D" w:rsidRPr="00D93F7E" w:rsidRDefault="0082297D" w:rsidP="0082297D">
            <w:pPr>
              <w:jc w:val="center"/>
              <w:rPr>
                <w:rFonts w:ascii="Arial" w:hAnsi="Arial" w:cs="Arial"/>
                <w:sz w:val="20"/>
                <w:szCs w:val="20"/>
              </w:rPr>
            </w:pPr>
            <w:r w:rsidRPr="00D93F7E">
              <w:rPr>
                <w:rFonts w:ascii="Arial" w:hAnsi="Arial" w:cs="Arial"/>
                <w:sz w:val="20"/>
                <w:szCs w:val="20"/>
              </w:rPr>
              <w:t>2035</w:t>
            </w:r>
          </w:p>
        </w:tc>
        <w:tc>
          <w:tcPr>
            <w:tcW w:w="268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215,031,892 </w:t>
            </w:r>
          </w:p>
        </w:tc>
        <w:tc>
          <w:tcPr>
            <w:tcW w:w="2386"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57,491,329 </w:t>
            </w:r>
          </w:p>
        </w:tc>
        <w:tc>
          <w:tcPr>
            <w:tcW w:w="2678"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86,202,764 </w:t>
            </w:r>
          </w:p>
        </w:tc>
        <w:tc>
          <w:tcPr>
            <w:tcW w:w="2320"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99,221,133 </w:t>
            </w:r>
          </w:p>
        </w:tc>
        <w:tc>
          <w:tcPr>
            <w:tcW w:w="283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 </w:t>
            </w:r>
          </w:p>
        </w:tc>
      </w:tr>
      <w:tr w:rsidR="0082297D" w:rsidRPr="00D93F7E" w:rsidTr="0082297D">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82297D" w:rsidRPr="00D93F7E" w:rsidRDefault="0082297D" w:rsidP="0082297D">
            <w:pPr>
              <w:jc w:val="center"/>
              <w:rPr>
                <w:rFonts w:ascii="Arial" w:hAnsi="Arial" w:cs="Arial"/>
                <w:sz w:val="20"/>
                <w:szCs w:val="20"/>
              </w:rPr>
            </w:pPr>
            <w:r w:rsidRPr="00D93F7E">
              <w:rPr>
                <w:rFonts w:ascii="Arial" w:hAnsi="Arial" w:cs="Arial"/>
                <w:sz w:val="20"/>
                <w:szCs w:val="20"/>
              </w:rPr>
              <w:t>2036</w:t>
            </w:r>
          </w:p>
        </w:tc>
        <w:tc>
          <w:tcPr>
            <w:tcW w:w="268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249,599,241 </w:t>
            </w:r>
          </w:p>
        </w:tc>
        <w:tc>
          <w:tcPr>
            <w:tcW w:w="2386"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66,733,319 </w:t>
            </w:r>
          </w:p>
        </w:tc>
        <w:tc>
          <w:tcPr>
            <w:tcW w:w="2678"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100,060,247 </w:t>
            </w:r>
          </w:p>
        </w:tc>
        <w:tc>
          <w:tcPr>
            <w:tcW w:w="2320"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115,171,378 </w:t>
            </w:r>
          </w:p>
        </w:tc>
        <w:tc>
          <w:tcPr>
            <w:tcW w:w="283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 </w:t>
            </w:r>
          </w:p>
        </w:tc>
      </w:tr>
      <w:tr w:rsidR="0082297D" w:rsidRPr="00D93F7E" w:rsidTr="0082297D">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82297D" w:rsidRPr="00D93F7E" w:rsidRDefault="0082297D" w:rsidP="0082297D">
            <w:pPr>
              <w:jc w:val="center"/>
              <w:rPr>
                <w:rFonts w:ascii="Arial" w:hAnsi="Arial" w:cs="Arial"/>
                <w:sz w:val="20"/>
                <w:szCs w:val="20"/>
              </w:rPr>
            </w:pPr>
            <w:r w:rsidRPr="00D93F7E">
              <w:rPr>
                <w:rFonts w:ascii="Arial" w:hAnsi="Arial" w:cs="Arial"/>
                <w:sz w:val="20"/>
                <w:szCs w:val="20"/>
              </w:rPr>
              <w:t>2037</w:t>
            </w:r>
          </w:p>
        </w:tc>
        <w:tc>
          <w:tcPr>
            <w:tcW w:w="268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289,723,446 </w:t>
            </w:r>
          </w:p>
        </w:tc>
        <w:tc>
          <w:tcPr>
            <w:tcW w:w="2386"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77,461,002 </w:t>
            </w:r>
          </w:p>
        </w:tc>
        <w:tc>
          <w:tcPr>
            <w:tcW w:w="2678"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116,145,384 </w:t>
            </w:r>
          </w:p>
        </w:tc>
        <w:tc>
          <w:tcPr>
            <w:tcW w:w="2320"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133,685,697 </w:t>
            </w:r>
          </w:p>
        </w:tc>
        <w:tc>
          <w:tcPr>
            <w:tcW w:w="283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 </w:t>
            </w:r>
          </w:p>
        </w:tc>
      </w:tr>
      <w:tr w:rsidR="0082297D" w:rsidRPr="00D93F7E" w:rsidTr="0082297D">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82297D" w:rsidRPr="00D93F7E" w:rsidRDefault="0082297D" w:rsidP="0082297D">
            <w:pPr>
              <w:jc w:val="center"/>
              <w:rPr>
                <w:rFonts w:ascii="Arial" w:hAnsi="Arial" w:cs="Arial"/>
                <w:sz w:val="20"/>
                <w:szCs w:val="20"/>
              </w:rPr>
            </w:pPr>
            <w:r w:rsidRPr="00D93F7E">
              <w:rPr>
                <w:rFonts w:ascii="Arial" w:hAnsi="Arial" w:cs="Arial"/>
                <w:sz w:val="20"/>
                <w:szCs w:val="20"/>
              </w:rPr>
              <w:t>2038</w:t>
            </w:r>
          </w:p>
        </w:tc>
        <w:tc>
          <w:tcPr>
            <w:tcW w:w="268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336,297,799 </w:t>
            </w:r>
          </w:p>
        </w:tc>
        <w:tc>
          <w:tcPr>
            <w:tcW w:w="2386"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89,913,206 </w:t>
            </w:r>
          </w:p>
        </w:tc>
        <w:tc>
          <w:tcPr>
            <w:tcW w:w="2678"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134,816,277 </w:t>
            </w:r>
          </w:p>
        </w:tc>
        <w:tc>
          <w:tcPr>
            <w:tcW w:w="2320"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155,176,275 </w:t>
            </w:r>
          </w:p>
        </w:tc>
        <w:tc>
          <w:tcPr>
            <w:tcW w:w="283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 </w:t>
            </w:r>
          </w:p>
        </w:tc>
      </w:tr>
      <w:tr w:rsidR="0082297D" w:rsidRPr="00D93F7E" w:rsidTr="0082297D">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82297D" w:rsidRPr="00D93F7E" w:rsidRDefault="0082297D" w:rsidP="0082297D">
            <w:pPr>
              <w:jc w:val="center"/>
              <w:rPr>
                <w:rFonts w:ascii="Arial" w:hAnsi="Arial" w:cs="Arial"/>
                <w:sz w:val="20"/>
                <w:szCs w:val="20"/>
              </w:rPr>
            </w:pPr>
            <w:r w:rsidRPr="00D93F7E">
              <w:rPr>
                <w:rFonts w:ascii="Arial" w:hAnsi="Arial" w:cs="Arial"/>
                <w:sz w:val="20"/>
                <w:szCs w:val="20"/>
              </w:rPr>
              <w:t>2039</w:t>
            </w:r>
          </w:p>
        </w:tc>
        <w:tc>
          <w:tcPr>
            <w:tcW w:w="268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355,561,005 </w:t>
            </w:r>
          </w:p>
        </w:tc>
        <w:tc>
          <w:tcPr>
            <w:tcW w:w="2386"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104,367,162 </w:t>
            </w:r>
          </w:p>
        </w:tc>
        <w:tc>
          <w:tcPr>
            <w:tcW w:w="2678"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156,488,605 </w:t>
            </w:r>
          </w:p>
        </w:tc>
        <w:tc>
          <w:tcPr>
            <w:tcW w:w="2320"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180,121,564 </w:t>
            </w:r>
          </w:p>
        </w:tc>
        <w:tc>
          <w:tcPr>
            <w:tcW w:w="283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 </w:t>
            </w:r>
          </w:p>
        </w:tc>
      </w:tr>
      <w:tr w:rsidR="0082297D" w:rsidRPr="00D93F7E" w:rsidTr="0082297D">
        <w:trPr>
          <w:trHeight w:val="34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82297D" w:rsidRPr="00D93F7E" w:rsidRDefault="0082297D" w:rsidP="0082297D">
            <w:pPr>
              <w:jc w:val="center"/>
              <w:rPr>
                <w:rFonts w:ascii="Arial" w:hAnsi="Arial" w:cs="Arial"/>
                <w:sz w:val="20"/>
                <w:szCs w:val="20"/>
              </w:rPr>
            </w:pPr>
            <w:r w:rsidRPr="00D93F7E">
              <w:rPr>
                <w:rFonts w:ascii="Arial" w:hAnsi="Arial" w:cs="Arial"/>
                <w:sz w:val="20"/>
                <w:szCs w:val="20"/>
              </w:rPr>
              <w:t>2040</w:t>
            </w:r>
          </w:p>
        </w:tc>
        <w:tc>
          <w:tcPr>
            <w:tcW w:w="268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 </w:t>
            </w:r>
          </w:p>
        </w:tc>
        <w:tc>
          <w:tcPr>
            <w:tcW w:w="2386"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89,679,334 </w:t>
            </w:r>
          </w:p>
        </w:tc>
        <w:tc>
          <w:tcPr>
            <w:tcW w:w="2678"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135,276,779 </w:t>
            </w:r>
          </w:p>
        </w:tc>
        <w:tc>
          <w:tcPr>
            <w:tcW w:w="2320"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154,772,647 </w:t>
            </w:r>
          </w:p>
        </w:tc>
        <w:tc>
          <w:tcPr>
            <w:tcW w:w="2835" w:type="dxa"/>
            <w:tcBorders>
              <w:top w:val="nil"/>
              <w:left w:val="nil"/>
              <w:bottom w:val="single" w:sz="4" w:space="0" w:color="auto"/>
              <w:right w:val="single" w:sz="4" w:space="0" w:color="auto"/>
            </w:tcBorders>
            <w:shd w:val="clear" w:color="auto" w:fill="auto"/>
            <w:noWrap/>
            <w:vAlign w:val="center"/>
            <w:hideMark/>
          </w:tcPr>
          <w:p w:rsidR="0082297D" w:rsidRPr="00D93F7E" w:rsidRDefault="0082297D" w:rsidP="0082297D">
            <w:pPr>
              <w:jc w:val="right"/>
              <w:rPr>
                <w:rFonts w:ascii="Arial" w:hAnsi="Arial" w:cs="Arial"/>
                <w:sz w:val="20"/>
                <w:szCs w:val="20"/>
              </w:rPr>
            </w:pPr>
            <w:r w:rsidRPr="00D93F7E">
              <w:rPr>
                <w:rFonts w:ascii="Arial" w:hAnsi="Arial" w:cs="Arial"/>
                <w:sz w:val="20"/>
                <w:szCs w:val="20"/>
              </w:rPr>
              <w:t xml:space="preserve">                                               - </w:t>
            </w:r>
          </w:p>
        </w:tc>
      </w:tr>
    </w:tbl>
    <w:p w:rsidR="0082297D" w:rsidRDefault="0082297D" w:rsidP="0082297D">
      <w:pPr>
        <w:rPr>
          <w:rFonts w:ascii="Arial" w:hAnsi="Arial" w:cs="Arial"/>
          <w:sz w:val="20"/>
        </w:rPr>
      </w:pPr>
    </w:p>
    <w:p w:rsidR="0082297D" w:rsidRPr="0016359A" w:rsidRDefault="0082297D" w:rsidP="0082297D">
      <w:pPr>
        <w:rPr>
          <w:rFonts w:ascii="Arial" w:hAnsi="Arial"/>
          <w:i/>
          <w:sz w:val="16"/>
          <w:szCs w:val="16"/>
        </w:rPr>
      </w:pPr>
      <w:r w:rsidRPr="0016359A">
        <w:rPr>
          <w:rFonts w:ascii="Arial" w:hAnsi="Arial" w:cs="Arial"/>
          <w:i/>
          <w:sz w:val="16"/>
          <w:szCs w:val="16"/>
        </w:rPr>
        <w:t xml:space="preserve">  Esta hoja pertenece a la Iniciativa para expedir la Ley de Ingresos Estado de Yucatán para el Ejercicio Fiscal 2022.</w:t>
      </w:r>
    </w:p>
    <w:p w:rsidR="000A14B2" w:rsidRDefault="000A14B2" w:rsidP="00104093">
      <w:pPr>
        <w:jc w:val="center"/>
        <w:rPr>
          <w:rFonts w:ascii="Arial" w:hAnsi="Arial" w:cs="Arial"/>
          <w:sz w:val="16"/>
          <w:szCs w:val="16"/>
        </w:rPr>
      </w:pPr>
      <w:bookmarkStart w:id="7" w:name="_GoBack"/>
      <w:bookmarkEnd w:id="7"/>
    </w:p>
    <w:sectPr w:rsidR="000A14B2" w:rsidSect="00E37EAF">
      <w:pgSz w:w="15840" w:h="12240" w:orient="landscape"/>
      <w:pgMar w:top="284" w:right="720" w:bottom="720" w:left="720" w:header="26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71D" w:rsidRDefault="0054371D">
      <w:r>
        <w:separator/>
      </w:r>
    </w:p>
  </w:endnote>
  <w:endnote w:type="continuationSeparator" w:id="0">
    <w:p w:rsidR="0054371D" w:rsidRDefault="0054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w:altName w:val="Courier New"/>
    <w:charset w:val="00"/>
    <w:family w:val="auto"/>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71D" w:rsidRDefault="0054371D"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54371D" w:rsidRDefault="0054371D"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71D" w:rsidRPr="00552BCE" w:rsidRDefault="0054371D" w:rsidP="00334D5C">
    <w:pPr>
      <w:pStyle w:val="Piedepgina"/>
      <w:jc w:val="right"/>
      <w:rPr>
        <w:rFonts w:ascii="Arial" w:hAnsi="Arial" w:cs="Arial"/>
        <w:sz w:val="20"/>
        <w:szCs w:val="20"/>
      </w:rPr>
    </w:pPr>
    <w:r w:rsidRPr="00552BCE">
      <w:rPr>
        <w:rFonts w:ascii="Arial" w:hAnsi="Arial" w:cs="Arial"/>
        <w:sz w:val="20"/>
        <w:szCs w:val="20"/>
      </w:rPr>
      <w:fldChar w:fldCharType="begin"/>
    </w:r>
    <w:r w:rsidRPr="00552BCE">
      <w:rPr>
        <w:rFonts w:ascii="Arial" w:hAnsi="Arial" w:cs="Arial"/>
        <w:sz w:val="20"/>
        <w:szCs w:val="20"/>
      </w:rPr>
      <w:instrText>PAGE   \* MERGEFORMAT</w:instrText>
    </w:r>
    <w:r w:rsidRPr="00552BCE">
      <w:rPr>
        <w:rFonts w:ascii="Arial" w:hAnsi="Arial" w:cs="Arial"/>
        <w:sz w:val="20"/>
        <w:szCs w:val="20"/>
      </w:rPr>
      <w:fldChar w:fldCharType="separate"/>
    </w:r>
    <w:r w:rsidR="00156C42">
      <w:rPr>
        <w:rFonts w:ascii="Arial" w:hAnsi="Arial" w:cs="Arial"/>
        <w:noProof/>
        <w:sz w:val="20"/>
        <w:szCs w:val="20"/>
      </w:rPr>
      <w:t>49</w:t>
    </w:r>
    <w:r w:rsidRPr="00552BCE">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71D" w:rsidRDefault="0054371D">
      <w:r>
        <w:separator/>
      </w:r>
    </w:p>
  </w:footnote>
  <w:footnote w:type="continuationSeparator" w:id="0">
    <w:p w:rsidR="0054371D" w:rsidRDefault="00543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60" w:type="dxa"/>
      <w:jc w:val="center"/>
      <w:tblLayout w:type="fixed"/>
      <w:tblCellMar>
        <w:left w:w="70" w:type="dxa"/>
        <w:right w:w="70" w:type="dxa"/>
      </w:tblCellMar>
      <w:tblLook w:val="0000" w:firstRow="0" w:lastRow="0" w:firstColumn="0" w:lastColumn="0" w:noHBand="0" w:noVBand="0"/>
    </w:tblPr>
    <w:tblGrid>
      <w:gridCol w:w="130"/>
      <w:gridCol w:w="1163"/>
      <w:gridCol w:w="130"/>
      <w:gridCol w:w="4193"/>
      <w:gridCol w:w="130"/>
      <w:gridCol w:w="4784"/>
      <w:gridCol w:w="130"/>
    </w:tblGrid>
    <w:tr w:rsidR="0054371D" w:rsidRPr="006030B5" w:rsidTr="006030B5">
      <w:trPr>
        <w:gridBefore w:val="1"/>
        <w:wBefore w:w="130" w:type="dxa"/>
        <w:cantSplit/>
        <w:trHeight w:val="352"/>
        <w:jc w:val="center"/>
      </w:trPr>
      <w:tc>
        <w:tcPr>
          <w:tcW w:w="1293" w:type="dxa"/>
          <w:gridSpan w:val="2"/>
          <w:vMerge w:val="restart"/>
          <w:vAlign w:val="center"/>
        </w:tcPr>
        <w:p w:rsidR="0054371D" w:rsidRPr="006030B5" w:rsidRDefault="0054371D" w:rsidP="006030B5">
          <w:pPr>
            <w:pStyle w:val="Encabezado"/>
            <w:rPr>
              <w:rFonts w:ascii="Arial" w:hAnsi="Arial" w:cs="Arial"/>
              <w:sz w:val="16"/>
              <w:szCs w:val="16"/>
            </w:rPr>
          </w:pPr>
          <w:r w:rsidRPr="006030B5">
            <w:rPr>
              <w:rFonts w:ascii="Arial" w:hAnsi="Arial" w:cs="Arial"/>
              <w:sz w:val="16"/>
              <w:szCs w:val="16"/>
            </w:rPr>
            <w:object w:dxaOrig="1137" w:dyaOrig="1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85pt;height:50.65pt" o:ole="">
                <v:imagedata r:id="rId1" o:title=""/>
              </v:shape>
              <o:OLEObject Type="Embed" ProgID="Word.Picture.8" ShapeID="_x0000_i1027" DrawAspect="Content" ObjectID="_1718183844" r:id="rId2"/>
            </w:object>
          </w:r>
        </w:p>
      </w:tc>
      <w:tc>
        <w:tcPr>
          <w:tcW w:w="9237" w:type="dxa"/>
          <w:gridSpan w:val="4"/>
          <w:tcBorders>
            <w:bottom w:val="double" w:sz="4" w:space="0" w:color="auto"/>
          </w:tcBorders>
          <w:vAlign w:val="bottom"/>
        </w:tcPr>
        <w:p w:rsidR="0054371D" w:rsidRPr="006030B5" w:rsidRDefault="0054371D" w:rsidP="006030B5">
          <w:pPr>
            <w:pStyle w:val="Encabezado"/>
            <w:jc w:val="right"/>
            <w:rPr>
              <w:rFonts w:ascii="Arial" w:hAnsi="Arial" w:cs="Arial"/>
              <w:b/>
              <w:bCs/>
              <w:sz w:val="16"/>
              <w:szCs w:val="16"/>
            </w:rPr>
          </w:pPr>
          <w:r w:rsidRPr="006030B5">
            <w:rPr>
              <w:rFonts w:ascii="Arial" w:hAnsi="Arial" w:cs="Arial"/>
              <w:b/>
              <w:bCs/>
              <w:sz w:val="16"/>
              <w:szCs w:val="16"/>
            </w:rPr>
            <w:t xml:space="preserve">LEY DE INGRESOS DEL ESTADO DE YUCATÁN </w:t>
          </w:r>
        </w:p>
        <w:p w:rsidR="0054371D" w:rsidRPr="006030B5" w:rsidRDefault="0054371D" w:rsidP="006030B5">
          <w:pPr>
            <w:pStyle w:val="Encabezado"/>
            <w:jc w:val="right"/>
            <w:rPr>
              <w:rFonts w:ascii="Arial" w:hAnsi="Arial" w:cs="Arial"/>
              <w:b/>
              <w:bCs/>
              <w:sz w:val="16"/>
              <w:szCs w:val="16"/>
              <w:lang w:val="es-ES_tradnl"/>
            </w:rPr>
          </w:pPr>
          <w:r w:rsidRPr="006030B5">
            <w:rPr>
              <w:rFonts w:ascii="Arial" w:hAnsi="Arial" w:cs="Arial"/>
              <w:b/>
              <w:bCs/>
              <w:sz w:val="16"/>
              <w:szCs w:val="16"/>
            </w:rPr>
            <w:t>PARA EL EJERCICIO FISCAL 20</w:t>
          </w:r>
          <w:r>
            <w:rPr>
              <w:rFonts w:ascii="Arial" w:hAnsi="Arial" w:cs="Arial"/>
              <w:b/>
              <w:bCs/>
              <w:sz w:val="16"/>
              <w:szCs w:val="16"/>
            </w:rPr>
            <w:t>22</w:t>
          </w:r>
        </w:p>
      </w:tc>
    </w:tr>
    <w:tr w:rsidR="0054371D" w:rsidRPr="006030B5" w:rsidTr="006030B5">
      <w:trPr>
        <w:gridBefore w:val="1"/>
        <w:wBefore w:w="130" w:type="dxa"/>
        <w:cantSplit/>
        <w:trHeight w:val="128"/>
        <w:jc w:val="center"/>
      </w:trPr>
      <w:tc>
        <w:tcPr>
          <w:tcW w:w="1293" w:type="dxa"/>
          <w:gridSpan w:val="2"/>
          <w:vMerge/>
        </w:tcPr>
        <w:p w:rsidR="0054371D" w:rsidRPr="006030B5" w:rsidRDefault="0054371D" w:rsidP="006030B5">
          <w:pPr>
            <w:pStyle w:val="Encabezado"/>
            <w:rPr>
              <w:rFonts w:ascii="Arial" w:hAnsi="Arial" w:cs="Arial"/>
              <w:sz w:val="16"/>
              <w:szCs w:val="16"/>
            </w:rPr>
          </w:pPr>
        </w:p>
      </w:tc>
      <w:tc>
        <w:tcPr>
          <w:tcW w:w="9237" w:type="dxa"/>
          <w:gridSpan w:val="4"/>
          <w:tcBorders>
            <w:top w:val="double" w:sz="4" w:space="0" w:color="auto"/>
          </w:tcBorders>
        </w:tcPr>
        <w:p w:rsidR="0054371D" w:rsidRPr="006030B5" w:rsidRDefault="0054371D" w:rsidP="006030B5">
          <w:pPr>
            <w:pStyle w:val="Encabezado"/>
            <w:ind w:left="-70"/>
            <w:jc w:val="right"/>
            <w:rPr>
              <w:rFonts w:ascii="Arial" w:hAnsi="Arial" w:cs="Arial"/>
              <w:sz w:val="16"/>
              <w:szCs w:val="16"/>
            </w:rPr>
          </w:pPr>
        </w:p>
      </w:tc>
    </w:tr>
    <w:tr w:rsidR="0054371D" w:rsidRPr="006030B5" w:rsidTr="006030B5">
      <w:trPr>
        <w:gridBefore w:val="1"/>
        <w:wBefore w:w="130" w:type="dxa"/>
        <w:cantSplit/>
        <w:trHeight w:val="312"/>
        <w:jc w:val="center"/>
      </w:trPr>
      <w:tc>
        <w:tcPr>
          <w:tcW w:w="1293" w:type="dxa"/>
          <w:gridSpan w:val="2"/>
          <w:vMerge/>
        </w:tcPr>
        <w:p w:rsidR="0054371D" w:rsidRPr="006030B5" w:rsidRDefault="0054371D" w:rsidP="006030B5">
          <w:pPr>
            <w:pStyle w:val="Encabezado"/>
            <w:rPr>
              <w:rFonts w:ascii="Arial" w:hAnsi="Arial" w:cs="Arial"/>
              <w:sz w:val="16"/>
              <w:szCs w:val="16"/>
            </w:rPr>
          </w:pPr>
        </w:p>
      </w:tc>
      <w:tc>
        <w:tcPr>
          <w:tcW w:w="4323" w:type="dxa"/>
          <w:gridSpan w:val="2"/>
        </w:tcPr>
        <w:p w:rsidR="0054371D" w:rsidRPr="006030B5" w:rsidRDefault="0054371D" w:rsidP="006030B5">
          <w:pPr>
            <w:pStyle w:val="Encabezado"/>
            <w:rPr>
              <w:rFonts w:ascii="Arial" w:hAnsi="Arial" w:cs="Arial"/>
              <w:b/>
              <w:bCs/>
              <w:sz w:val="16"/>
              <w:szCs w:val="16"/>
            </w:rPr>
          </w:pPr>
          <w:r w:rsidRPr="006030B5">
            <w:rPr>
              <w:rFonts w:ascii="Arial" w:hAnsi="Arial" w:cs="Arial"/>
              <w:b/>
              <w:bCs/>
              <w:sz w:val="16"/>
              <w:szCs w:val="16"/>
            </w:rPr>
            <w:t xml:space="preserve"> H. Congreso del Estado de Yucatán</w:t>
          </w:r>
        </w:p>
        <w:p w:rsidR="0054371D" w:rsidRPr="006030B5" w:rsidRDefault="0054371D" w:rsidP="006030B5">
          <w:pPr>
            <w:pStyle w:val="Encabezado"/>
            <w:rPr>
              <w:rFonts w:ascii="Arial" w:hAnsi="Arial" w:cs="Arial"/>
              <w:sz w:val="16"/>
              <w:szCs w:val="16"/>
            </w:rPr>
          </w:pPr>
          <w:r w:rsidRPr="006030B5">
            <w:rPr>
              <w:rFonts w:ascii="Arial" w:hAnsi="Arial" w:cs="Arial"/>
              <w:sz w:val="16"/>
              <w:szCs w:val="16"/>
            </w:rPr>
            <w:t>Secretaría General del Poder Legislativo</w:t>
          </w:r>
        </w:p>
        <w:p w:rsidR="0054371D" w:rsidRPr="006030B5" w:rsidRDefault="0054371D" w:rsidP="006030B5">
          <w:pPr>
            <w:pStyle w:val="Encabezado"/>
            <w:rPr>
              <w:rFonts w:ascii="Arial" w:hAnsi="Arial" w:cs="Arial"/>
              <w:sz w:val="16"/>
              <w:szCs w:val="16"/>
            </w:rPr>
          </w:pPr>
          <w:r w:rsidRPr="006030B5">
            <w:rPr>
              <w:rFonts w:ascii="Arial" w:hAnsi="Arial" w:cs="Arial"/>
              <w:sz w:val="16"/>
              <w:szCs w:val="16"/>
            </w:rPr>
            <w:t>Unidad de Servicios Técnico-Legislativos</w:t>
          </w:r>
        </w:p>
        <w:p w:rsidR="0054371D" w:rsidRPr="006030B5" w:rsidRDefault="0054371D" w:rsidP="006030B5">
          <w:pPr>
            <w:pStyle w:val="Encabezado"/>
            <w:rPr>
              <w:rFonts w:ascii="Arial" w:hAnsi="Arial" w:cs="Arial"/>
              <w:b/>
              <w:bCs/>
              <w:sz w:val="16"/>
              <w:szCs w:val="16"/>
            </w:rPr>
          </w:pPr>
        </w:p>
        <w:p w:rsidR="0054371D" w:rsidRPr="006030B5" w:rsidRDefault="0054371D" w:rsidP="006030B5">
          <w:pPr>
            <w:pStyle w:val="Encabezado"/>
            <w:rPr>
              <w:rFonts w:ascii="Arial" w:hAnsi="Arial" w:cs="Arial"/>
              <w:sz w:val="16"/>
              <w:szCs w:val="16"/>
            </w:rPr>
          </w:pPr>
        </w:p>
      </w:tc>
      <w:tc>
        <w:tcPr>
          <w:tcW w:w="4914" w:type="dxa"/>
          <w:gridSpan w:val="2"/>
        </w:tcPr>
        <w:p w:rsidR="0054371D" w:rsidRPr="006030B5" w:rsidRDefault="0054371D" w:rsidP="006030B5">
          <w:pPr>
            <w:pStyle w:val="Encabezado"/>
            <w:ind w:left="-70"/>
            <w:jc w:val="right"/>
            <w:rPr>
              <w:rFonts w:ascii="Arial" w:hAnsi="Arial" w:cs="Arial"/>
              <w:i/>
              <w:iCs/>
              <w:sz w:val="16"/>
              <w:szCs w:val="16"/>
              <w:lang w:val="es-ES_tradnl"/>
            </w:rPr>
          </w:pPr>
          <w:r>
            <w:rPr>
              <w:rFonts w:ascii="Arial" w:hAnsi="Arial" w:cs="Arial"/>
              <w:i/>
              <w:iCs/>
              <w:sz w:val="16"/>
              <w:szCs w:val="16"/>
            </w:rPr>
            <w:t xml:space="preserve">Última reforma </w:t>
          </w:r>
          <w:r w:rsidRPr="006030B5">
            <w:rPr>
              <w:rFonts w:ascii="Arial" w:hAnsi="Arial" w:cs="Arial"/>
              <w:i/>
              <w:iCs/>
              <w:sz w:val="16"/>
              <w:szCs w:val="16"/>
            </w:rPr>
            <w:t>D.O. 3</w:t>
          </w:r>
          <w:r>
            <w:rPr>
              <w:rFonts w:ascii="Arial" w:hAnsi="Arial" w:cs="Arial"/>
              <w:i/>
              <w:iCs/>
              <w:sz w:val="16"/>
              <w:szCs w:val="16"/>
            </w:rPr>
            <w:t>0</w:t>
          </w:r>
          <w:r w:rsidRPr="006030B5">
            <w:rPr>
              <w:rFonts w:ascii="Arial" w:hAnsi="Arial" w:cs="Arial"/>
              <w:i/>
              <w:iCs/>
              <w:sz w:val="16"/>
              <w:szCs w:val="16"/>
            </w:rPr>
            <w:t xml:space="preserve"> </w:t>
          </w:r>
          <w:r>
            <w:rPr>
              <w:rFonts w:ascii="Arial" w:hAnsi="Arial" w:cs="Arial"/>
              <w:i/>
              <w:iCs/>
              <w:sz w:val="16"/>
              <w:szCs w:val="16"/>
            </w:rPr>
            <w:t xml:space="preserve">de junio de </w:t>
          </w:r>
          <w:r w:rsidRPr="006030B5">
            <w:rPr>
              <w:rFonts w:ascii="Arial" w:hAnsi="Arial" w:cs="Arial"/>
              <w:i/>
              <w:iCs/>
              <w:sz w:val="16"/>
              <w:szCs w:val="16"/>
            </w:rPr>
            <w:t>20</w:t>
          </w:r>
          <w:r>
            <w:rPr>
              <w:rFonts w:ascii="Arial" w:hAnsi="Arial" w:cs="Arial"/>
              <w:i/>
              <w:iCs/>
              <w:sz w:val="16"/>
              <w:szCs w:val="16"/>
            </w:rPr>
            <w:t>22.</w:t>
          </w:r>
        </w:p>
        <w:p w:rsidR="0054371D" w:rsidRPr="006030B5" w:rsidRDefault="0054371D" w:rsidP="006030B5">
          <w:pPr>
            <w:pStyle w:val="Encabezado"/>
            <w:ind w:left="-70"/>
            <w:jc w:val="right"/>
            <w:rPr>
              <w:rFonts w:ascii="Arial" w:hAnsi="Arial" w:cs="Arial"/>
              <w:i/>
              <w:iCs/>
              <w:sz w:val="16"/>
              <w:szCs w:val="16"/>
            </w:rPr>
          </w:pPr>
        </w:p>
      </w:tc>
    </w:tr>
    <w:tr w:rsidR="0054371D" w:rsidRPr="006030B5" w:rsidTr="00E37EAF">
      <w:trPr>
        <w:gridAfter w:val="1"/>
        <w:wAfter w:w="130" w:type="dxa"/>
        <w:cantSplit/>
        <w:trHeight w:val="63"/>
        <w:jc w:val="center"/>
      </w:trPr>
      <w:tc>
        <w:tcPr>
          <w:tcW w:w="1293" w:type="dxa"/>
          <w:gridSpan w:val="2"/>
        </w:tcPr>
        <w:p w:rsidR="0054371D" w:rsidRPr="006030B5" w:rsidRDefault="0054371D" w:rsidP="006030B5">
          <w:pPr>
            <w:pStyle w:val="Encabezado"/>
            <w:rPr>
              <w:rFonts w:ascii="Arial" w:hAnsi="Arial" w:cs="Arial"/>
              <w:sz w:val="16"/>
              <w:szCs w:val="16"/>
            </w:rPr>
          </w:pPr>
        </w:p>
      </w:tc>
      <w:tc>
        <w:tcPr>
          <w:tcW w:w="4323" w:type="dxa"/>
          <w:gridSpan w:val="2"/>
        </w:tcPr>
        <w:p w:rsidR="0054371D" w:rsidRPr="006030B5" w:rsidRDefault="0054371D" w:rsidP="006030B5">
          <w:pPr>
            <w:pStyle w:val="Encabezado"/>
            <w:ind w:left="-70"/>
            <w:rPr>
              <w:rFonts w:ascii="Arial" w:hAnsi="Arial" w:cs="Arial"/>
              <w:sz w:val="16"/>
              <w:szCs w:val="16"/>
            </w:rPr>
          </w:pPr>
        </w:p>
      </w:tc>
      <w:tc>
        <w:tcPr>
          <w:tcW w:w="4914" w:type="dxa"/>
          <w:gridSpan w:val="2"/>
        </w:tcPr>
        <w:p w:rsidR="0054371D" w:rsidRPr="006030B5" w:rsidRDefault="0054371D" w:rsidP="006030B5">
          <w:pPr>
            <w:pStyle w:val="Encabezado"/>
            <w:ind w:left="-70"/>
            <w:jc w:val="right"/>
            <w:rPr>
              <w:rFonts w:ascii="Arial" w:hAnsi="Arial" w:cs="Arial"/>
              <w:i/>
              <w:iCs/>
              <w:sz w:val="16"/>
              <w:szCs w:val="16"/>
            </w:rPr>
          </w:pPr>
        </w:p>
      </w:tc>
    </w:tr>
  </w:tbl>
  <w:p w:rsidR="0054371D" w:rsidRPr="006030B5" w:rsidRDefault="0054371D" w:rsidP="00E37E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E94F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41E09"/>
    <w:multiLevelType w:val="hybridMultilevel"/>
    <w:tmpl w:val="D6506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nsid w:val="0CA66363"/>
    <w:multiLevelType w:val="hybridMultilevel"/>
    <w:tmpl w:val="0C10073E"/>
    <w:lvl w:ilvl="0" w:tplc="94DE86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3720CA"/>
    <w:multiLevelType w:val="hybridMultilevel"/>
    <w:tmpl w:val="285A80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EE646D"/>
    <w:multiLevelType w:val="hybridMultilevel"/>
    <w:tmpl w:val="E2464B5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6">
    <w:nsid w:val="1262766D"/>
    <w:multiLevelType w:val="hybridMultilevel"/>
    <w:tmpl w:val="F26CB83A"/>
    <w:lvl w:ilvl="0" w:tplc="080A0011">
      <w:start w:val="1"/>
      <w:numFmt w:val="decimal"/>
      <w:lvlText w:val="%1)"/>
      <w:lvlJc w:val="left"/>
      <w:pPr>
        <w:ind w:left="766" w:hanging="360"/>
      </w:pPr>
    </w:lvl>
    <w:lvl w:ilvl="1" w:tplc="080A0019">
      <w:start w:val="1"/>
      <w:numFmt w:val="lowerLetter"/>
      <w:lvlText w:val="%2."/>
      <w:lvlJc w:val="left"/>
      <w:pPr>
        <w:ind w:left="1486" w:hanging="360"/>
      </w:pPr>
    </w:lvl>
    <w:lvl w:ilvl="2" w:tplc="080A001B">
      <w:start w:val="1"/>
      <w:numFmt w:val="lowerRoman"/>
      <w:lvlText w:val="%3."/>
      <w:lvlJc w:val="right"/>
      <w:pPr>
        <w:ind w:left="2206" w:hanging="180"/>
      </w:pPr>
    </w:lvl>
    <w:lvl w:ilvl="3" w:tplc="080A000F">
      <w:start w:val="1"/>
      <w:numFmt w:val="decimal"/>
      <w:lvlText w:val="%4."/>
      <w:lvlJc w:val="left"/>
      <w:pPr>
        <w:ind w:left="2926" w:hanging="360"/>
      </w:pPr>
    </w:lvl>
    <w:lvl w:ilvl="4" w:tplc="080A0019">
      <w:start w:val="1"/>
      <w:numFmt w:val="lowerLetter"/>
      <w:lvlText w:val="%5."/>
      <w:lvlJc w:val="left"/>
      <w:pPr>
        <w:ind w:left="3646" w:hanging="360"/>
      </w:pPr>
    </w:lvl>
    <w:lvl w:ilvl="5" w:tplc="080A001B">
      <w:start w:val="1"/>
      <w:numFmt w:val="lowerRoman"/>
      <w:lvlText w:val="%6."/>
      <w:lvlJc w:val="right"/>
      <w:pPr>
        <w:ind w:left="4366" w:hanging="180"/>
      </w:pPr>
    </w:lvl>
    <w:lvl w:ilvl="6" w:tplc="080A000F">
      <w:start w:val="1"/>
      <w:numFmt w:val="decimal"/>
      <w:lvlText w:val="%7."/>
      <w:lvlJc w:val="left"/>
      <w:pPr>
        <w:ind w:left="5086" w:hanging="360"/>
      </w:pPr>
    </w:lvl>
    <w:lvl w:ilvl="7" w:tplc="080A0019">
      <w:start w:val="1"/>
      <w:numFmt w:val="lowerLetter"/>
      <w:lvlText w:val="%8."/>
      <w:lvlJc w:val="left"/>
      <w:pPr>
        <w:ind w:left="5806" w:hanging="360"/>
      </w:pPr>
    </w:lvl>
    <w:lvl w:ilvl="8" w:tplc="080A001B">
      <w:start w:val="1"/>
      <w:numFmt w:val="lowerRoman"/>
      <w:lvlText w:val="%9."/>
      <w:lvlJc w:val="right"/>
      <w:pPr>
        <w:ind w:left="6526" w:hanging="180"/>
      </w:pPr>
    </w:lvl>
  </w:abstractNum>
  <w:abstractNum w:abstractNumId="7">
    <w:nsid w:val="14A07300"/>
    <w:multiLevelType w:val="hybridMultilevel"/>
    <w:tmpl w:val="81FE716E"/>
    <w:lvl w:ilvl="0" w:tplc="65F4C39A">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8">
    <w:nsid w:val="1C6F0940"/>
    <w:multiLevelType w:val="hybridMultilevel"/>
    <w:tmpl w:val="F57639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CB3310B"/>
    <w:multiLevelType w:val="hybridMultilevel"/>
    <w:tmpl w:val="443AB4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CE37021"/>
    <w:multiLevelType w:val="hybridMultilevel"/>
    <w:tmpl w:val="A7B09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9A49F8"/>
    <w:multiLevelType w:val="hybridMultilevel"/>
    <w:tmpl w:val="E50C7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EEA1D2A"/>
    <w:multiLevelType w:val="hybridMultilevel"/>
    <w:tmpl w:val="3162FF20"/>
    <w:lvl w:ilvl="0" w:tplc="E514DFF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BA7E7B"/>
    <w:multiLevelType w:val="hybridMultilevel"/>
    <w:tmpl w:val="DCEE0F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DE90B88"/>
    <w:multiLevelType w:val="hybridMultilevel"/>
    <w:tmpl w:val="25B4F3CC"/>
    <w:lvl w:ilvl="0" w:tplc="080A001B">
      <w:start w:val="1"/>
      <w:numFmt w:val="lowerRoman"/>
      <w:lvlText w:val="%1."/>
      <w:lvlJc w:val="righ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15">
    <w:nsid w:val="335030C3"/>
    <w:multiLevelType w:val="hybridMultilevel"/>
    <w:tmpl w:val="CA9C63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3D534E5"/>
    <w:multiLevelType w:val="hybridMultilevel"/>
    <w:tmpl w:val="48345B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AB85588"/>
    <w:multiLevelType w:val="hybridMultilevel"/>
    <w:tmpl w:val="A09C0140"/>
    <w:lvl w:ilvl="0" w:tplc="724AE390">
      <w:start w:val="1"/>
      <w:numFmt w:val="upperLetter"/>
      <w:lvlText w:val="%1)"/>
      <w:lvlJc w:val="left"/>
      <w:pPr>
        <w:ind w:left="1080" w:hanging="720"/>
      </w:pPr>
      <w:rPr>
        <w:rFonts w:ascii="Arial" w:eastAsia="Calibri" w:hAnsi="Arial" w:cs="Arial"/>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0B46B77"/>
    <w:multiLevelType w:val="hybridMultilevel"/>
    <w:tmpl w:val="14487D4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19">
    <w:nsid w:val="417C799A"/>
    <w:multiLevelType w:val="hybridMultilevel"/>
    <w:tmpl w:val="F2B0DA52"/>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nsid w:val="443734FC"/>
    <w:multiLevelType w:val="hybridMultilevel"/>
    <w:tmpl w:val="BAE6B5B6"/>
    <w:lvl w:ilvl="0" w:tplc="080A0001">
      <w:start w:val="1"/>
      <w:numFmt w:val="bullet"/>
      <w:lvlText w:val=""/>
      <w:lvlJc w:val="left"/>
      <w:pPr>
        <w:ind w:left="720" w:hanging="360"/>
      </w:pPr>
      <w:rPr>
        <w:rFonts w:ascii="Symbol" w:hAnsi="Symbol" w:hint="default"/>
      </w:rPr>
    </w:lvl>
    <w:lvl w:ilvl="1" w:tplc="80862D0E">
      <w:numFmt w:val="bullet"/>
      <w:lvlText w:val="•"/>
      <w:lvlJc w:val="left"/>
      <w:pPr>
        <w:ind w:left="1440" w:hanging="360"/>
      </w:pPr>
      <w:rPr>
        <w:rFonts w:ascii="Barlow" w:eastAsia="Calibri" w:hAnsi="Barlow"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59C365F"/>
    <w:multiLevelType w:val="hybridMultilevel"/>
    <w:tmpl w:val="B16C2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8036EC8"/>
    <w:multiLevelType w:val="hybridMultilevel"/>
    <w:tmpl w:val="7B1677E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48E426A5"/>
    <w:multiLevelType w:val="hybridMultilevel"/>
    <w:tmpl w:val="BF1AE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AF0278B"/>
    <w:multiLevelType w:val="hybridMultilevel"/>
    <w:tmpl w:val="4432BB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9E735F9"/>
    <w:multiLevelType w:val="hybridMultilevel"/>
    <w:tmpl w:val="96D27D4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7">
    <w:nsid w:val="5A5B27EE"/>
    <w:multiLevelType w:val="hybridMultilevel"/>
    <w:tmpl w:val="0816A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EE24D00"/>
    <w:multiLevelType w:val="hybridMultilevel"/>
    <w:tmpl w:val="03CE35AC"/>
    <w:lvl w:ilvl="0" w:tplc="1E3AE8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6AE6179"/>
    <w:multiLevelType w:val="hybridMultilevel"/>
    <w:tmpl w:val="3C227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31">
    <w:nsid w:val="75EA6C57"/>
    <w:multiLevelType w:val="hybridMultilevel"/>
    <w:tmpl w:val="4B42B036"/>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num w:numId="1">
    <w:abstractNumId w:val="20"/>
  </w:num>
  <w:num w:numId="2">
    <w:abstractNumId w:val="2"/>
  </w:num>
  <w:num w:numId="3">
    <w:abstractNumId w:val="30"/>
  </w:num>
  <w:num w:numId="4">
    <w:abstractNumId w:val="29"/>
  </w:num>
  <w:num w:numId="5">
    <w:abstractNumId w:val="0"/>
  </w:num>
  <w:num w:numId="6">
    <w:abstractNumId w:val="4"/>
  </w:num>
  <w:num w:numId="7">
    <w:abstractNumId w:val="1"/>
  </w:num>
  <w:num w:numId="8">
    <w:abstractNumId w:val="17"/>
  </w:num>
  <w:num w:numId="9">
    <w:abstractNumId w:val="13"/>
  </w:num>
  <w:num w:numId="10">
    <w:abstractNumId w:val="15"/>
  </w:num>
  <w:num w:numId="11">
    <w:abstractNumId w:val="22"/>
  </w:num>
  <w:num w:numId="12">
    <w:abstractNumId w:val="10"/>
  </w:num>
  <w:num w:numId="13">
    <w:abstractNumId w:val="25"/>
  </w:num>
  <w:num w:numId="14">
    <w:abstractNumId w:val="31"/>
  </w:num>
  <w:num w:numId="15">
    <w:abstractNumId w:val="27"/>
  </w:num>
  <w:num w:numId="16">
    <w:abstractNumId w:val="28"/>
  </w:num>
  <w:num w:numId="17">
    <w:abstractNumId w:val="3"/>
  </w:num>
  <w:num w:numId="18">
    <w:abstractNumId w:val="21"/>
  </w:num>
  <w:num w:numId="19">
    <w:abstractNumId w:val="11"/>
  </w:num>
  <w:num w:numId="20">
    <w:abstractNumId w:val="23"/>
  </w:num>
  <w:num w:numId="21">
    <w:abstractNumId w:val="7"/>
  </w:num>
  <w:num w:numId="22">
    <w:abstractNumId w:val="1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6"/>
  </w:num>
  <w:num w:numId="27">
    <w:abstractNumId w:val="6"/>
  </w:num>
  <w:num w:numId="28">
    <w:abstractNumId w:val="9"/>
  </w:num>
  <w:num w:numId="29">
    <w:abstractNumId w:val="5"/>
  </w:num>
  <w:num w:numId="30">
    <w:abstractNumId w:val="24"/>
  </w:num>
  <w:num w:numId="31">
    <w:abstractNumId w:val="16"/>
  </w:num>
  <w:num w:numId="32">
    <w:abstractNumId w:val="8"/>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D76"/>
    <w:rsid w:val="000037A8"/>
    <w:rsid w:val="00004EA3"/>
    <w:rsid w:val="000051B3"/>
    <w:rsid w:val="0000548D"/>
    <w:rsid w:val="00006059"/>
    <w:rsid w:val="000062CE"/>
    <w:rsid w:val="000070FD"/>
    <w:rsid w:val="00007D2D"/>
    <w:rsid w:val="0001130B"/>
    <w:rsid w:val="0001174D"/>
    <w:rsid w:val="00011E88"/>
    <w:rsid w:val="00013369"/>
    <w:rsid w:val="0001404E"/>
    <w:rsid w:val="00015337"/>
    <w:rsid w:val="0001549B"/>
    <w:rsid w:val="00015EF5"/>
    <w:rsid w:val="000162EF"/>
    <w:rsid w:val="00016884"/>
    <w:rsid w:val="00017072"/>
    <w:rsid w:val="000171F3"/>
    <w:rsid w:val="000179EC"/>
    <w:rsid w:val="00020B73"/>
    <w:rsid w:val="00021973"/>
    <w:rsid w:val="00022605"/>
    <w:rsid w:val="00022750"/>
    <w:rsid w:val="00025238"/>
    <w:rsid w:val="00025CFA"/>
    <w:rsid w:val="0002744F"/>
    <w:rsid w:val="00030663"/>
    <w:rsid w:val="00031170"/>
    <w:rsid w:val="00031B2B"/>
    <w:rsid w:val="000328B2"/>
    <w:rsid w:val="00032F93"/>
    <w:rsid w:val="0003351D"/>
    <w:rsid w:val="00034D95"/>
    <w:rsid w:val="0003540C"/>
    <w:rsid w:val="00037C6C"/>
    <w:rsid w:val="00040644"/>
    <w:rsid w:val="000409E6"/>
    <w:rsid w:val="00040A6F"/>
    <w:rsid w:val="00041752"/>
    <w:rsid w:val="000418DA"/>
    <w:rsid w:val="000431E0"/>
    <w:rsid w:val="000440D3"/>
    <w:rsid w:val="0004490C"/>
    <w:rsid w:val="00044EA7"/>
    <w:rsid w:val="00046F81"/>
    <w:rsid w:val="0005092B"/>
    <w:rsid w:val="00050B22"/>
    <w:rsid w:val="000526B8"/>
    <w:rsid w:val="00052A00"/>
    <w:rsid w:val="00053356"/>
    <w:rsid w:val="00053FAB"/>
    <w:rsid w:val="000552A6"/>
    <w:rsid w:val="00055BE4"/>
    <w:rsid w:val="00055D65"/>
    <w:rsid w:val="0005619F"/>
    <w:rsid w:val="0005643F"/>
    <w:rsid w:val="00056EFA"/>
    <w:rsid w:val="000602D7"/>
    <w:rsid w:val="000605BA"/>
    <w:rsid w:val="00060C22"/>
    <w:rsid w:val="00062044"/>
    <w:rsid w:val="000621C2"/>
    <w:rsid w:val="0006277D"/>
    <w:rsid w:val="000638EA"/>
    <w:rsid w:val="00064B26"/>
    <w:rsid w:val="00064B5C"/>
    <w:rsid w:val="00066156"/>
    <w:rsid w:val="00066583"/>
    <w:rsid w:val="00067081"/>
    <w:rsid w:val="0007144C"/>
    <w:rsid w:val="00071E01"/>
    <w:rsid w:val="00074630"/>
    <w:rsid w:val="0007678F"/>
    <w:rsid w:val="000768DB"/>
    <w:rsid w:val="000777A0"/>
    <w:rsid w:val="00077FA8"/>
    <w:rsid w:val="000804F6"/>
    <w:rsid w:val="00080502"/>
    <w:rsid w:val="00081A23"/>
    <w:rsid w:val="0008202B"/>
    <w:rsid w:val="000823AB"/>
    <w:rsid w:val="0008254D"/>
    <w:rsid w:val="00082E82"/>
    <w:rsid w:val="00086129"/>
    <w:rsid w:val="000863D6"/>
    <w:rsid w:val="00086491"/>
    <w:rsid w:val="00086A9A"/>
    <w:rsid w:val="00092740"/>
    <w:rsid w:val="00092C61"/>
    <w:rsid w:val="0009338C"/>
    <w:rsid w:val="000948E3"/>
    <w:rsid w:val="00095643"/>
    <w:rsid w:val="000974A2"/>
    <w:rsid w:val="000975B4"/>
    <w:rsid w:val="00097E9A"/>
    <w:rsid w:val="000A069E"/>
    <w:rsid w:val="000A0E0B"/>
    <w:rsid w:val="000A14B2"/>
    <w:rsid w:val="000A227F"/>
    <w:rsid w:val="000A235F"/>
    <w:rsid w:val="000A2586"/>
    <w:rsid w:val="000A2B0C"/>
    <w:rsid w:val="000A31DC"/>
    <w:rsid w:val="000A463F"/>
    <w:rsid w:val="000A47BB"/>
    <w:rsid w:val="000A481B"/>
    <w:rsid w:val="000A4B8B"/>
    <w:rsid w:val="000A58B0"/>
    <w:rsid w:val="000A74F9"/>
    <w:rsid w:val="000B06AB"/>
    <w:rsid w:val="000B0F29"/>
    <w:rsid w:val="000B1ED7"/>
    <w:rsid w:val="000C0A6B"/>
    <w:rsid w:val="000C305A"/>
    <w:rsid w:val="000C3881"/>
    <w:rsid w:val="000C4085"/>
    <w:rsid w:val="000D2214"/>
    <w:rsid w:val="000D2E65"/>
    <w:rsid w:val="000D3775"/>
    <w:rsid w:val="000D398F"/>
    <w:rsid w:val="000D39BA"/>
    <w:rsid w:val="000D3C8E"/>
    <w:rsid w:val="000D4EA0"/>
    <w:rsid w:val="000D5042"/>
    <w:rsid w:val="000D6476"/>
    <w:rsid w:val="000D6619"/>
    <w:rsid w:val="000D6E82"/>
    <w:rsid w:val="000D7996"/>
    <w:rsid w:val="000E02B5"/>
    <w:rsid w:val="000E110F"/>
    <w:rsid w:val="000E3C00"/>
    <w:rsid w:val="000E5AE1"/>
    <w:rsid w:val="000E66A1"/>
    <w:rsid w:val="000E6904"/>
    <w:rsid w:val="000E6C44"/>
    <w:rsid w:val="000E6FAE"/>
    <w:rsid w:val="000E76A3"/>
    <w:rsid w:val="000E7AF9"/>
    <w:rsid w:val="000E7BDC"/>
    <w:rsid w:val="000F143D"/>
    <w:rsid w:val="000F21A9"/>
    <w:rsid w:val="000F40B3"/>
    <w:rsid w:val="000F67CE"/>
    <w:rsid w:val="000F6A11"/>
    <w:rsid w:val="000F793B"/>
    <w:rsid w:val="001005DD"/>
    <w:rsid w:val="001016F3"/>
    <w:rsid w:val="001025FE"/>
    <w:rsid w:val="00102843"/>
    <w:rsid w:val="001038BE"/>
    <w:rsid w:val="00103CE8"/>
    <w:rsid w:val="00104093"/>
    <w:rsid w:val="001042C4"/>
    <w:rsid w:val="00104F4D"/>
    <w:rsid w:val="001058E6"/>
    <w:rsid w:val="001074E8"/>
    <w:rsid w:val="0010775E"/>
    <w:rsid w:val="00111188"/>
    <w:rsid w:val="00111C4A"/>
    <w:rsid w:val="0011574A"/>
    <w:rsid w:val="001178EF"/>
    <w:rsid w:val="00120D62"/>
    <w:rsid w:val="001216F4"/>
    <w:rsid w:val="00121EE5"/>
    <w:rsid w:val="0012293B"/>
    <w:rsid w:val="00123634"/>
    <w:rsid w:val="00126420"/>
    <w:rsid w:val="0012673E"/>
    <w:rsid w:val="0013175A"/>
    <w:rsid w:val="00131802"/>
    <w:rsid w:val="00132CFF"/>
    <w:rsid w:val="0013449B"/>
    <w:rsid w:val="001364A1"/>
    <w:rsid w:val="00136628"/>
    <w:rsid w:val="00137CEE"/>
    <w:rsid w:val="00137DC8"/>
    <w:rsid w:val="001413EC"/>
    <w:rsid w:val="001419D4"/>
    <w:rsid w:val="00143C13"/>
    <w:rsid w:val="00143C2C"/>
    <w:rsid w:val="00145115"/>
    <w:rsid w:val="00147254"/>
    <w:rsid w:val="001478C5"/>
    <w:rsid w:val="00147C4E"/>
    <w:rsid w:val="00150D33"/>
    <w:rsid w:val="00151EEF"/>
    <w:rsid w:val="00152558"/>
    <w:rsid w:val="00152561"/>
    <w:rsid w:val="00152C34"/>
    <w:rsid w:val="00154190"/>
    <w:rsid w:val="00155F16"/>
    <w:rsid w:val="00156A26"/>
    <w:rsid w:val="00156C42"/>
    <w:rsid w:val="00160049"/>
    <w:rsid w:val="00160537"/>
    <w:rsid w:val="00160636"/>
    <w:rsid w:val="00161358"/>
    <w:rsid w:val="001620A7"/>
    <w:rsid w:val="00162228"/>
    <w:rsid w:val="00162B64"/>
    <w:rsid w:val="0016359A"/>
    <w:rsid w:val="00163E82"/>
    <w:rsid w:val="00163EEE"/>
    <w:rsid w:val="0016430D"/>
    <w:rsid w:val="001654C3"/>
    <w:rsid w:val="001668E4"/>
    <w:rsid w:val="00166F7E"/>
    <w:rsid w:val="00170C35"/>
    <w:rsid w:val="001725E2"/>
    <w:rsid w:val="00172EF9"/>
    <w:rsid w:val="001732BC"/>
    <w:rsid w:val="0017339D"/>
    <w:rsid w:val="00173490"/>
    <w:rsid w:val="00175AA2"/>
    <w:rsid w:val="00176198"/>
    <w:rsid w:val="0017660E"/>
    <w:rsid w:val="00176C48"/>
    <w:rsid w:val="00177070"/>
    <w:rsid w:val="001775A3"/>
    <w:rsid w:val="00180061"/>
    <w:rsid w:val="0018027D"/>
    <w:rsid w:val="00182150"/>
    <w:rsid w:val="00182363"/>
    <w:rsid w:val="00182766"/>
    <w:rsid w:val="001834B4"/>
    <w:rsid w:val="001838BF"/>
    <w:rsid w:val="00184EFD"/>
    <w:rsid w:val="001850BD"/>
    <w:rsid w:val="00185B73"/>
    <w:rsid w:val="00185C21"/>
    <w:rsid w:val="00185D3A"/>
    <w:rsid w:val="001861ED"/>
    <w:rsid w:val="00186F33"/>
    <w:rsid w:val="00186F8E"/>
    <w:rsid w:val="00187CA8"/>
    <w:rsid w:val="0019261C"/>
    <w:rsid w:val="00192AA2"/>
    <w:rsid w:val="0019322C"/>
    <w:rsid w:val="00193DF7"/>
    <w:rsid w:val="00194929"/>
    <w:rsid w:val="001A0404"/>
    <w:rsid w:val="001A0E88"/>
    <w:rsid w:val="001A2275"/>
    <w:rsid w:val="001A3212"/>
    <w:rsid w:val="001A3DB3"/>
    <w:rsid w:val="001A4CCD"/>
    <w:rsid w:val="001A6D90"/>
    <w:rsid w:val="001A7484"/>
    <w:rsid w:val="001B04B6"/>
    <w:rsid w:val="001B0754"/>
    <w:rsid w:val="001B0BB1"/>
    <w:rsid w:val="001B125D"/>
    <w:rsid w:val="001B12E2"/>
    <w:rsid w:val="001B1F92"/>
    <w:rsid w:val="001B3543"/>
    <w:rsid w:val="001B397E"/>
    <w:rsid w:val="001B48FC"/>
    <w:rsid w:val="001B4E70"/>
    <w:rsid w:val="001B544D"/>
    <w:rsid w:val="001B621C"/>
    <w:rsid w:val="001B78C7"/>
    <w:rsid w:val="001C1997"/>
    <w:rsid w:val="001C2189"/>
    <w:rsid w:val="001C6B4C"/>
    <w:rsid w:val="001D129B"/>
    <w:rsid w:val="001D1C24"/>
    <w:rsid w:val="001D2254"/>
    <w:rsid w:val="001D2A87"/>
    <w:rsid w:val="001D35C1"/>
    <w:rsid w:val="001D3E97"/>
    <w:rsid w:val="001D46D3"/>
    <w:rsid w:val="001D4C67"/>
    <w:rsid w:val="001D56D4"/>
    <w:rsid w:val="001D5BAF"/>
    <w:rsid w:val="001D5D72"/>
    <w:rsid w:val="001D75FF"/>
    <w:rsid w:val="001D7F00"/>
    <w:rsid w:val="001E008A"/>
    <w:rsid w:val="001E06FD"/>
    <w:rsid w:val="001E1309"/>
    <w:rsid w:val="001E2751"/>
    <w:rsid w:val="001E2AF7"/>
    <w:rsid w:val="001E2DC6"/>
    <w:rsid w:val="001E4125"/>
    <w:rsid w:val="001E6CD5"/>
    <w:rsid w:val="001E7ACF"/>
    <w:rsid w:val="001E7FA8"/>
    <w:rsid w:val="001E7FB8"/>
    <w:rsid w:val="001F0150"/>
    <w:rsid w:val="001F10B6"/>
    <w:rsid w:val="001F3FD6"/>
    <w:rsid w:val="001F5F37"/>
    <w:rsid w:val="001F6106"/>
    <w:rsid w:val="001F6519"/>
    <w:rsid w:val="001F787D"/>
    <w:rsid w:val="001F7D1D"/>
    <w:rsid w:val="0020088B"/>
    <w:rsid w:val="002014B0"/>
    <w:rsid w:val="002017B0"/>
    <w:rsid w:val="002021BC"/>
    <w:rsid w:val="002023EC"/>
    <w:rsid w:val="002032B1"/>
    <w:rsid w:val="002036FB"/>
    <w:rsid w:val="0020434D"/>
    <w:rsid w:val="00204BF4"/>
    <w:rsid w:val="0020589E"/>
    <w:rsid w:val="00205A38"/>
    <w:rsid w:val="00206496"/>
    <w:rsid w:val="002067E1"/>
    <w:rsid w:val="00206A5E"/>
    <w:rsid w:val="00206D12"/>
    <w:rsid w:val="00206E62"/>
    <w:rsid w:val="002078B5"/>
    <w:rsid w:val="002079E0"/>
    <w:rsid w:val="00210D0C"/>
    <w:rsid w:val="00211109"/>
    <w:rsid w:val="0021291C"/>
    <w:rsid w:val="00214A5E"/>
    <w:rsid w:val="0021763B"/>
    <w:rsid w:val="00217FD0"/>
    <w:rsid w:val="00222048"/>
    <w:rsid w:val="002220C1"/>
    <w:rsid w:val="0022245F"/>
    <w:rsid w:val="0022253C"/>
    <w:rsid w:val="0022486C"/>
    <w:rsid w:val="00225C52"/>
    <w:rsid w:val="00226BB5"/>
    <w:rsid w:val="00226D90"/>
    <w:rsid w:val="00230801"/>
    <w:rsid w:val="002311FF"/>
    <w:rsid w:val="002322BA"/>
    <w:rsid w:val="0023410B"/>
    <w:rsid w:val="002362CB"/>
    <w:rsid w:val="0024517C"/>
    <w:rsid w:val="002453A1"/>
    <w:rsid w:val="00245AB9"/>
    <w:rsid w:val="00250450"/>
    <w:rsid w:val="00251B14"/>
    <w:rsid w:val="00251E24"/>
    <w:rsid w:val="00251F05"/>
    <w:rsid w:val="00252182"/>
    <w:rsid w:val="002523D5"/>
    <w:rsid w:val="00252FBF"/>
    <w:rsid w:val="00253E54"/>
    <w:rsid w:val="00253FFF"/>
    <w:rsid w:val="002541A5"/>
    <w:rsid w:val="00254EFE"/>
    <w:rsid w:val="002554EF"/>
    <w:rsid w:val="00255BF5"/>
    <w:rsid w:val="00256382"/>
    <w:rsid w:val="00256ECF"/>
    <w:rsid w:val="00257252"/>
    <w:rsid w:val="002573BB"/>
    <w:rsid w:val="00257C57"/>
    <w:rsid w:val="00257CCF"/>
    <w:rsid w:val="00257F8F"/>
    <w:rsid w:val="002603FD"/>
    <w:rsid w:val="0026042C"/>
    <w:rsid w:val="00260F55"/>
    <w:rsid w:val="0026211B"/>
    <w:rsid w:val="002643A3"/>
    <w:rsid w:val="00264846"/>
    <w:rsid w:val="00266FFA"/>
    <w:rsid w:val="00270F4A"/>
    <w:rsid w:val="002721DA"/>
    <w:rsid w:val="00272659"/>
    <w:rsid w:val="00272981"/>
    <w:rsid w:val="00272B14"/>
    <w:rsid w:val="00272C83"/>
    <w:rsid w:val="00272F02"/>
    <w:rsid w:val="00273112"/>
    <w:rsid w:val="002743AE"/>
    <w:rsid w:val="00274664"/>
    <w:rsid w:val="00274A7B"/>
    <w:rsid w:val="00274FF1"/>
    <w:rsid w:val="0027528E"/>
    <w:rsid w:val="00276C17"/>
    <w:rsid w:val="00276E00"/>
    <w:rsid w:val="00276E0D"/>
    <w:rsid w:val="002777C8"/>
    <w:rsid w:val="00277A28"/>
    <w:rsid w:val="00280612"/>
    <w:rsid w:val="00283E99"/>
    <w:rsid w:val="002845B4"/>
    <w:rsid w:val="00285115"/>
    <w:rsid w:val="002859B4"/>
    <w:rsid w:val="00287340"/>
    <w:rsid w:val="00287A50"/>
    <w:rsid w:val="002931AA"/>
    <w:rsid w:val="00293713"/>
    <w:rsid w:val="002938B8"/>
    <w:rsid w:val="002953D4"/>
    <w:rsid w:val="00296466"/>
    <w:rsid w:val="0029739B"/>
    <w:rsid w:val="002A0683"/>
    <w:rsid w:val="002A0F5E"/>
    <w:rsid w:val="002A1255"/>
    <w:rsid w:val="002A1661"/>
    <w:rsid w:val="002A31A8"/>
    <w:rsid w:val="002A39D4"/>
    <w:rsid w:val="002A5903"/>
    <w:rsid w:val="002A5BF9"/>
    <w:rsid w:val="002A6BE2"/>
    <w:rsid w:val="002B093B"/>
    <w:rsid w:val="002B0F5B"/>
    <w:rsid w:val="002B178D"/>
    <w:rsid w:val="002B193F"/>
    <w:rsid w:val="002B1BE8"/>
    <w:rsid w:val="002B25A3"/>
    <w:rsid w:val="002B3999"/>
    <w:rsid w:val="002B3E27"/>
    <w:rsid w:val="002B4D66"/>
    <w:rsid w:val="002B60D5"/>
    <w:rsid w:val="002B65CD"/>
    <w:rsid w:val="002B7850"/>
    <w:rsid w:val="002B798D"/>
    <w:rsid w:val="002B7ABA"/>
    <w:rsid w:val="002C01AE"/>
    <w:rsid w:val="002C22B1"/>
    <w:rsid w:val="002C22CA"/>
    <w:rsid w:val="002C23B6"/>
    <w:rsid w:val="002C3838"/>
    <w:rsid w:val="002C569B"/>
    <w:rsid w:val="002C598A"/>
    <w:rsid w:val="002C59B5"/>
    <w:rsid w:val="002C7642"/>
    <w:rsid w:val="002D0778"/>
    <w:rsid w:val="002D1898"/>
    <w:rsid w:val="002D1A09"/>
    <w:rsid w:val="002D1C5D"/>
    <w:rsid w:val="002D5027"/>
    <w:rsid w:val="002D5309"/>
    <w:rsid w:val="002D56B8"/>
    <w:rsid w:val="002D6715"/>
    <w:rsid w:val="002D6C72"/>
    <w:rsid w:val="002D72B3"/>
    <w:rsid w:val="002E0451"/>
    <w:rsid w:val="002E15F5"/>
    <w:rsid w:val="002E17A6"/>
    <w:rsid w:val="002E1A86"/>
    <w:rsid w:val="002E29B7"/>
    <w:rsid w:val="002E402B"/>
    <w:rsid w:val="002E43E1"/>
    <w:rsid w:val="002E5382"/>
    <w:rsid w:val="002E7D72"/>
    <w:rsid w:val="002E7E6F"/>
    <w:rsid w:val="002F33FD"/>
    <w:rsid w:val="002F3F05"/>
    <w:rsid w:val="002F429C"/>
    <w:rsid w:val="002F5762"/>
    <w:rsid w:val="002F731C"/>
    <w:rsid w:val="002F7B6F"/>
    <w:rsid w:val="00300CB5"/>
    <w:rsid w:val="00300F3B"/>
    <w:rsid w:val="003016E1"/>
    <w:rsid w:val="0030217D"/>
    <w:rsid w:val="00303E9D"/>
    <w:rsid w:val="0030617F"/>
    <w:rsid w:val="00307F91"/>
    <w:rsid w:val="0031077F"/>
    <w:rsid w:val="00310B87"/>
    <w:rsid w:val="00310C3C"/>
    <w:rsid w:val="00311CFA"/>
    <w:rsid w:val="00311FB6"/>
    <w:rsid w:val="00314183"/>
    <w:rsid w:val="00314713"/>
    <w:rsid w:val="00314EC1"/>
    <w:rsid w:val="0031521C"/>
    <w:rsid w:val="0031736E"/>
    <w:rsid w:val="00317888"/>
    <w:rsid w:val="003204C1"/>
    <w:rsid w:val="003206A9"/>
    <w:rsid w:val="00320801"/>
    <w:rsid w:val="00321887"/>
    <w:rsid w:val="00322100"/>
    <w:rsid w:val="00322719"/>
    <w:rsid w:val="003233C8"/>
    <w:rsid w:val="00324C5E"/>
    <w:rsid w:val="00325D96"/>
    <w:rsid w:val="00326473"/>
    <w:rsid w:val="00326B1B"/>
    <w:rsid w:val="00330998"/>
    <w:rsid w:val="0033169C"/>
    <w:rsid w:val="00332525"/>
    <w:rsid w:val="00333653"/>
    <w:rsid w:val="00333C2C"/>
    <w:rsid w:val="00334D5C"/>
    <w:rsid w:val="00335DAC"/>
    <w:rsid w:val="00336671"/>
    <w:rsid w:val="00336E6C"/>
    <w:rsid w:val="00337909"/>
    <w:rsid w:val="00337CE8"/>
    <w:rsid w:val="00340A42"/>
    <w:rsid w:val="0034117C"/>
    <w:rsid w:val="0034223D"/>
    <w:rsid w:val="003429D8"/>
    <w:rsid w:val="00344514"/>
    <w:rsid w:val="00345F3E"/>
    <w:rsid w:val="00345FD7"/>
    <w:rsid w:val="0034662F"/>
    <w:rsid w:val="00346F6D"/>
    <w:rsid w:val="0034731A"/>
    <w:rsid w:val="00347423"/>
    <w:rsid w:val="0035075D"/>
    <w:rsid w:val="003539D1"/>
    <w:rsid w:val="00353D66"/>
    <w:rsid w:val="00353FA1"/>
    <w:rsid w:val="00360431"/>
    <w:rsid w:val="00361094"/>
    <w:rsid w:val="003612C9"/>
    <w:rsid w:val="003622B9"/>
    <w:rsid w:val="00363529"/>
    <w:rsid w:val="003636CB"/>
    <w:rsid w:val="00364FAB"/>
    <w:rsid w:val="00365ADD"/>
    <w:rsid w:val="00365C0C"/>
    <w:rsid w:val="0036631A"/>
    <w:rsid w:val="00366483"/>
    <w:rsid w:val="00366565"/>
    <w:rsid w:val="00366751"/>
    <w:rsid w:val="00366D68"/>
    <w:rsid w:val="00371828"/>
    <w:rsid w:val="0037215F"/>
    <w:rsid w:val="003721D1"/>
    <w:rsid w:val="00372CD8"/>
    <w:rsid w:val="00372FFB"/>
    <w:rsid w:val="00374455"/>
    <w:rsid w:val="00375B2D"/>
    <w:rsid w:val="0037680C"/>
    <w:rsid w:val="00380D2B"/>
    <w:rsid w:val="00381447"/>
    <w:rsid w:val="00381DCC"/>
    <w:rsid w:val="00381ECA"/>
    <w:rsid w:val="00384C02"/>
    <w:rsid w:val="00390100"/>
    <w:rsid w:val="003912AF"/>
    <w:rsid w:val="00392E83"/>
    <w:rsid w:val="003930CB"/>
    <w:rsid w:val="00393FC1"/>
    <w:rsid w:val="003947E3"/>
    <w:rsid w:val="00394BA5"/>
    <w:rsid w:val="003950D9"/>
    <w:rsid w:val="00396590"/>
    <w:rsid w:val="00397435"/>
    <w:rsid w:val="003974AF"/>
    <w:rsid w:val="003A0D96"/>
    <w:rsid w:val="003A15EF"/>
    <w:rsid w:val="003A1D94"/>
    <w:rsid w:val="003A1DCF"/>
    <w:rsid w:val="003A22A7"/>
    <w:rsid w:val="003A23B6"/>
    <w:rsid w:val="003A2DD3"/>
    <w:rsid w:val="003A2E71"/>
    <w:rsid w:val="003A4B7E"/>
    <w:rsid w:val="003A4CE7"/>
    <w:rsid w:val="003A526F"/>
    <w:rsid w:val="003A588F"/>
    <w:rsid w:val="003A591E"/>
    <w:rsid w:val="003A5D6F"/>
    <w:rsid w:val="003B07B3"/>
    <w:rsid w:val="003B21A5"/>
    <w:rsid w:val="003B24AE"/>
    <w:rsid w:val="003B2778"/>
    <w:rsid w:val="003B2785"/>
    <w:rsid w:val="003B2CD3"/>
    <w:rsid w:val="003B2D5D"/>
    <w:rsid w:val="003B443C"/>
    <w:rsid w:val="003B606A"/>
    <w:rsid w:val="003B6AA6"/>
    <w:rsid w:val="003B6B7F"/>
    <w:rsid w:val="003B6D24"/>
    <w:rsid w:val="003B7B88"/>
    <w:rsid w:val="003C092C"/>
    <w:rsid w:val="003C2106"/>
    <w:rsid w:val="003C2AC8"/>
    <w:rsid w:val="003C3A1E"/>
    <w:rsid w:val="003C3AAC"/>
    <w:rsid w:val="003C7808"/>
    <w:rsid w:val="003D0052"/>
    <w:rsid w:val="003D0302"/>
    <w:rsid w:val="003D1A0D"/>
    <w:rsid w:val="003D21E9"/>
    <w:rsid w:val="003D23E6"/>
    <w:rsid w:val="003D37D2"/>
    <w:rsid w:val="003D4142"/>
    <w:rsid w:val="003D45A3"/>
    <w:rsid w:val="003D5B51"/>
    <w:rsid w:val="003D5B57"/>
    <w:rsid w:val="003D66D7"/>
    <w:rsid w:val="003D6F81"/>
    <w:rsid w:val="003D7054"/>
    <w:rsid w:val="003D7625"/>
    <w:rsid w:val="003D79A5"/>
    <w:rsid w:val="003E0E3A"/>
    <w:rsid w:val="003E129B"/>
    <w:rsid w:val="003E16DA"/>
    <w:rsid w:val="003E20D7"/>
    <w:rsid w:val="003E2C61"/>
    <w:rsid w:val="003E2FC0"/>
    <w:rsid w:val="003E30DC"/>
    <w:rsid w:val="003E442C"/>
    <w:rsid w:val="003E5208"/>
    <w:rsid w:val="003E580C"/>
    <w:rsid w:val="003E5C91"/>
    <w:rsid w:val="003E67F7"/>
    <w:rsid w:val="003E6C3B"/>
    <w:rsid w:val="003F0064"/>
    <w:rsid w:val="003F036F"/>
    <w:rsid w:val="003F1803"/>
    <w:rsid w:val="003F1C6D"/>
    <w:rsid w:val="003F1D22"/>
    <w:rsid w:val="003F1F24"/>
    <w:rsid w:val="003F36CC"/>
    <w:rsid w:val="003F36D2"/>
    <w:rsid w:val="003F43C0"/>
    <w:rsid w:val="003F558C"/>
    <w:rsid w:val="003F5F87"/>
    <w:rsid w:val="003F6591"/>
    <w:rsid w:val="003F6F9F"/>
    <w:rsid w:val="003F70B9"/>
    <w:rsid w:val="00400531"/>
    <w:rsid w:val="00400EEA"/>
    <w:rsid w:val="004015EC"/>
    <w:rsid w:val="00401AEB"/>
    <w:rsid w:val="00403BE8"/>
    <w:rsid w:val="00404F2A"/>
    <w:rsid w:val="00405E3F"/>
    <w:rsid w:val="00406834"/>
    <w:rsid w:val="00406D9B"/>
    <w:rsid w:val="00410772"/>
    <w:rsid w:val="00410CB7"/>
    <w:rsid w:val="00413B89"/>
    <w:rsid w:val="00414A81"/>
    <w:rsid w:val="004215FB"/>
    <w:rsid w:val="00422DCD"/>
    <w:rsid w:val="004236F6"/>
    <w:rsid w:val="0042749A"/>
    <w:rsid w:val="00430F8A"/>
    <w:rsid w:val="004313EA"/>
    <w:rsid w:val="00431582"/>
    <w:rsid w:val="004334DA"/>
    <w:rsid w:val="00433C75"/>
    <w:rsid w:val="00437639"/>
    <w:rsid w:val="004402B4"/>
    <w:rsid w:val="004404B2"/>
    <w:rsid w:val="00440616"/>
    <w:rsid w:val="00440691"/>
    <w:rsid w:val="00441E4B"/>
    <w:rsid w:val="00442456"/>
    <w:rsid w:val="0044458B"/>
    <w:rsid w:val="00444B1C"/>
    <w:rsid w:val="00445606"/>
    <w:rsid w:val="004456B3"/>
    <w:rsid w:val="00446292"/>
    <w:rsid w:val="004469B6"/>
    <w:rsid w:val="00446A8D"/>
    <w:rsid w:val="00447311"/>
    <w:rsid w:val="00447C58"/>
    <w:rsid w:val="00450875"/>
    <w:rsid w:val="00450FC6"/>
    <w:rsid w:val="00451C21"/>
    <w:rsid w:val="00452287"/>
    <w:rsid w:val="00452493"/>
    <w:rsid w:val="0045251F"/>
    <w:rsid w:val="00452EE8"/>
    <w:rsid w:val="00453135"/>
    <w:rsid w:val="00454AA8"/>
    <w:rsid w:val="00454EDB"/>
    <w:rsid w:val="00455290"/>
    <w:rsid w:val="00455494"/>
    <w:rsid w:val="00455DD5"/>
    <w:rsid w:val="00457044"/>
    <w:rsid w:val="00457A59"/>
    <w:rsid w:val="00457D9A"/>
    <w:rsid w:val="00460288"/>
    <w:rsid w:val="00460AE8"/>
    <w:rsid w:val="0046135C"/>
    <w:rsid w:val="0046194D"/>
    <w:rsid w:val="0046287E"/>
    <w:rsid w:val="00463028"/>
    <w:rsid w:val="00463691"/>
    <w:rsid w:val="00463880"/>
    <w:rsid w:val="00463F25"/>
    <w:rsid w:val="00464E66"/>
    <w:rsid w:val="0046520A"/>
    <w:rsid w:val="00465D0F"/>
    <w:rsid w:val="00466B4D"/>
    <w:rsid w:val="00467490"/>
    <w:rsid w:val="00467840"/>
    <w:rsid w:val="00470892"/>
    <w:rsid w:val="00471640"/>
    <w:rsid w:val="0047274C"/>
    <w:rsid w:val="00472F5F"/>
    <w:rsid w:val="00475603"/>
    <w:rsid w:val="00475E95"/>
    <w:rsid w:val="0047634B"/>
    <w:rsid w:val="0048022B"/>
    <w:rsid w:val="00480888"/>
    <w:rsid w:val="00480DB1"/>
    <w:rsid w:val="00481461"/>
    <w:rsid w:val="004829E8"/>
    <w:rsid w:val="00483C75"/>
    <w:rsid w:val="0048485C"/>
    <w:rsid w:val="004851E2"/>
    <w:rsid w:val="00485244"/>
    <w:rsid w:val="004855D1"/>
    <w:rsid w:val="00486706"/>
    <w:rsid w:val="0049065D"/>
    <w:rsid w:val="0049078C"/>
    <w:rsid w:val="00491D0E"/>
    <w:rsid w:val="004939A5"/>
    <w:rsid w:val="004951B1"/>
    <w:rsid w:val="00495718"/>
    <w:rsid w:val="00497E81"/>
    <w:rsid w:val="004A2E9F"/>
    <w:rsid w:val="004A4AF0"/>
    <w:rsid w:val="004A6082"/>
    <w:rsid w:val="004A6631"/>
    <w:rsid w:val="004A7469"/>
    <w:rsid w:val="004A7C45"/>
    <w:rsid w:val="004B052F"/>
    <w:rsid w:val="004B0B7F"/>
    <w:rsid w:val="004B1B7A"/>
    <w:rsid w:val="004B2593"/>
    <w:rsid w:val="004B35F8"/>
    <w:rsid w:val="004B3FFE"/>
    <w:rsid w:val="004B60AA"/>
    <w:rsid w:val="004B65EE"/>
    <w:rsid w:val="004B694E"/>
    <w:rsid w:val="004B7741"/>
    <w:rsid w:val="004C09E2"/>
    <w:rsid w:val="004C14C9"/>
    <w:rsid w:val="004C186F"/>
    <w:rsid w:val="004C195F"/>
    <w:rsid w:val="004C1EF1"/>
    <w:rsid w:val="004C2782"/>
    <w:rsid w:val="004C2963"/>
    <w:rsid w:val="004C2C44"/>
    <w:rsid w:val="004C3421"/>
    <w:rsid w:val="004C353F"/>
    <w:rsid w:val="004C3B5B"/>
    <w:rsid w:val="004C3BFB"/>
    <w:rsid w:val="004C74A1"/>
    <w:rsid w:val="004D2A97"/>
    <w:rsid w:val="004D2D3B"/>
    <w:rsid w:val="004D3847"/>
    <w:rsid w:val="004D45F7"/>
    <w:rsid w:val="004D6F11"/>
    <w:rsid w:val="004E204A"/>
    <w:rsid w:val="004E205A"/>
    <w:rsid w:val="004E3797"/>
    <w:rsid w:val="004E4B42"/>
    <w:rsid w:val="004E6D9C"/>
    <w:rsid w:val="004E761E"/>
    <w:rsid w:val="004F02C0"/>
    <w:rsid w:val="004F061D"/>
    <w:rsid w:val="004F0E74"/>
    <w:rsid w:val="004F3740"/>
    <w:rsid w:val="004F3C92"/>
    <w:rsid w:val="004F3CCE"/>
    <w:rsid w:val="004F473B"/>
    <w:rsid w:val="004F55CA"/>
    <w:rsid w:val="004F58E9"/>
    <w:rsid w:val="004F5A57"/>
    <w:rsid w:val="004F5F91"/>
    <w:rsid w:val="004F6070"/>
    <w:rsid w:val="004F6478"/>
    <w:rsid w:val="004F70C6"/>
    <w:rsid w:val="004F70F2"/>
    <w:rsid w:val="004F720F"/>
    <w:rsid w:val="004F78A3"/>
    <w:rsid w:val="004F7CC7"/>
    <w:rsid w:val="0050020C"/>
    <w:rsid w:val="0050071A"/>
    <w:rsid w:val="00504428"/>
    <w:rsid w:val="00504513"/>
    <w:rsid w:val="005062D7"/>
    <w:rsid w:val="005063FF"/>
    <w:rsid w:val="005064B0"/>
    <w:rsid w:val="00506C9C"/>
    <w:rsid w:val="005071F1"/>
    <w:rsid w:val="00507E95"/>
    <w:rsid w:val="005127BD"/>
    <w:rsid w:val="005165C7"/>
    <w:rsid w:val="005204A7"/>
    <w:rsid w:val="00520D6A"/>
    <w:rsid w:val="0052106D"/>
    <w:rsid w:val="00522684"/>
    <w:rsid w:val="00522F2E"/>
    <w:rsid w:val="005236FD"/>
    <w:rsid w:val="00523783"/>
    <w:rsid w:val="00524629"/>
    <w:rsid w:val="0052586F"/>
    <w:rsid w:val="00525DAB"/>
    <w:rsid w:val="0052606C"/>
    <w:rsid w:val="005261D5"/>
    <w:rsid w:val="005268AA"/>
    <w:rsid w:val="00526CE3"/>
    <w:rsid w:val="00527E83"/>
    <w:rsid w:val="005305A4"/>
    <w:rsid w:val="00530CF0"/>
    <w:rsid w:val="0053109D"/>
    <w:rsid w:val="00531BA8"/>
    <w:rsid w:val="00532DAD"/>
    <w:rsid w:val="0053342F"/>
    <w:rsid w:val="00535AEB"/>
    <w:rsid w:val="00536736"/>
    <w:rsid w:val="00537981"/>
    <w:rsid w:val="005402E7"/>
    <w:rsid w:val="0054231B"/>
    <w:rsid w:val="005424DF"/>
    <w:rsid w:val="00542855"/>
    <w:rsid w:val="005432E7"/>
    <w:rsid w:val="0054352D"/>
    <w:rsid w:val="0054371D"/>
    <w:rsid w:val="0054372C"/>
    <w:rsid w:val="0054722A"/>
    <w:rsid w:val="0054744C"/>
    <w:rsid w:val="00552BCE"/>
    <w:rsid w:val="00554EBA"/>
    <w:rsid w:val="00555082"/>
    <w:rsid w:val="0055595A"/>
    <w:rsid w:val="00556C91"/>
    <w:rsid w:val="00556E86"/>
    <w:rsid w:val="00557143"/>
    <w:rsid w:val="00557F17"/>
    <w:rsid w:val="00560A29"/>
    <w:rsid w:val="00560C78"/>
    <w:rsid w:val="0056211A"/>
    <w:rsid w:val="00562DF7"/>
    <w:rsid w:val="00563A56"/>
    <w:rsid w:val="00565DFF"/>
    <w:rsid w:val="00566970"/>
    <w:rsid w:val="00566AC4"/>
    <w:rsid w:val="0057040B"/>
    <w:rsid w:val="00572206"/>
    <w:rsid w:val="005725F5"/>
    <w:rsid w:val="00572B17"/>
    <w:rsid w:val="00572EC4"/>
    <w:rsid w:val="00573D61"/>
    <w:rsid w:val="00574052"/>
    <w:rsid w:val="005760B5"/>
    <w:rsid w:val="0057620C"/>
    <w:rsid w:val="005769D1"/>
    <w:rsid w:val="005773A8"/>
    <w:rsid w:val="00577D17"/>
    <w:rsid w:val="00583780"/>
    <w:rsid w:val="00583CAF"/>
    <w:rsid w:val="00586224"/>
    <w:rsid w:val="00586CA7"/>
    <w:rsid w:val="005909D8"/>
    <w:rsid w:val="00593FA3"/>
    <w:rsid w:val="0059462A"/>
    <w:rsid w:val="00595160"/>
    <w:rsid w:val="00595C5D"/>
    <w:rsid w:val="00596B3E"/>
    <w:rsid w:val="00597996"/>
    <w:rsid w:val="005A11D9"/>
    <w:rsid w:val="005A166D"/>
    <w:rsid w:val="005A2C13"/>
    <w:rsid w:val="005A2CC5"/>
    <w:rsid w:val="005A2FA7"/>
    <w:rsid w:val="005A314A"/>
    <w:rsid w:val="005A3D61"/>
    <w:rsid w:val="005A471F"/>
    <w:rsid w:val="005A7524"/>
    <w:rsid w:val="005B0B83"/>
    <w:rsid w:val="005B0E12"/>
    <w:rsid w:val="005B1299"/>
    <w:rsid w:val="005B4EB3"/>
    <w:rsid w:val="005B5729"/>
    <w:rsid w:val="005B5ABF"/>
    <w:rsid w:val="005B5D1D"/>
    <w:rsid w:val="005B6267"/>
    <w:rsid w:val="005B6765"/>
    <w:rsid w:val="005B6ABE"/>
    <w:rsid w:val="005B6C03"/>
    <w:rsid w:val="005B7261"/>
    <w:rsid w:val="005B7456"/>
    <w:rsid w:val="005B7900"/>
    <w:rsid w:val="005C0383"/>
    <w:rsid w:val="005C12EB"/>
    <w:rsid w:val="005C4C62"/>
    <w:rsid w:val="005C5C68"/>
    <w:rsid w:val="005C6A3A"/>
    <w:rsid w:val="005C71FA"/>
    <w:rsid w:val="005C7D7B"/>
    <w:rsid w:val="005D03EB"/>
    <w:rsid w:val="005D03EC"/>
    <w:rsid w:val="005D08BC"/>
    <w:rsid w:val="005D1B4E"/>
    <w:rsid w:val="005D1CBD"/>
    <w:rsid w:val="005D1F9C"/>
    <w:rsid w:val="005D2328"/>
    <w:rsid w:val="005D23FF"/>
    <w:rsid w:val="005D2F33"/>
    <w:rsid w:val="005D5DFA"/>
    <w:rsid w:val="005D6EBF"/>
    <w:rsid w:val="005E090C"/>
    <w:rsid w:val="005E15ED"/>
    <w:rsid w:val="005E166B"/>
    <w:rsid w:val="005E1763"/>
    <w:rsid w:val="005E3009"/>
    <w:rsid w:val="005E44EE"/>
    <w:rsid w:val="005E594F"/>
    <w:rsid w:val="005E60DB"/>
    <w:rsid w:val="005E61C0"/>
    <w:rsid w:val="005E6466"/>
    <w:rsid w:val="005E77C4"/>
    <w:rsid w:val="005F0563"/>
    <w:rsid w:val="005F0D16"/>
    <w:rsid w:val="005F0F03"/>
    <w:rsid w:val="005F17C7"/>
    <w:rsid w:val="005F3D31"/>
    <w:rsid w:val="005F712B"/>
    <w:rsid w:val="005F72B3"/>
    <w:rsid w:val="005F7D4D"/>
    <w:rsid w:val="00600E61"/>
    <w:rsid w:val="006030B5"/>
    <w:rsid w:val="00603AF2"/>
    <w:rsid w:val="00605F4A"/>
    <w:rsid w:val="00606112"/>
    <w:rsid w:val="00606768"/>
    <w:rsid w:val="006068DA"/>
    <w:rsid w:val="006072CE"/>
    <w:rsid w:val="00607CC5"/>
    <w:rsid w:val="0061140E"/>
    <w:rsid w:val="006120B8"/>
    <w:rsid w:val="00612455"/>
    <w:rsid w:val="0061371D"/>
    <w:rsid w:val="00614229"/>
    <w:rsid w:val="0061457C"/>
    <w:rsid w:val="00614932"/>
    <w:rsid w:val="006157CA"/>
    <w:rsid w:val="00615DAA"/>
    <w:rsid w:val="00623166"/>
    <w:rsid w:val="00623491"/>
    <w:rsid w:val="00624A86"/>
    <w:rsid w:val="00624F24"/>
    <w:rsid w:val="006256A9"/>
    <w:rsid w:val="00625C70"/>
    <w:rsid w:val="006263E2"/>
    <w:rsid w:val="006267C6"/>
    <w:rsid w:val="006267F7"/>
    <w:rsid w:val="0063224B"/>
    <w:rsid w:val="00634337"/>
    <w:rsid w:val="0063463B"/>
    <w:rsid w:val="0063471D"/>
    <w:rsid w:val="006350E9"/>
    <w:rsid w:val="00636F57"/>
    <w:rsid w:val="00640021"/>
    <w:rsid w:val="00640279"/>
    <w:rsid w:val="00640C31"/>
    <w:rsid w:val="00642BB8"/>
    <w:rsid w:val="00642F0B"/>
    <w:rsid w:val="00643103"/>
    <w:rsid w:val="00643254"/>
    <w:rsid w:val="00643EA5"/>
    <w:rsid w:val="00645563"/>
    <w:rsid w:val="00646131"/>
    <w:rsid w:val="0064662B"/>
    <w:rsid w:val="0064680F"/>
    <w:rsid w:val="00646B79"/>
    <w:rsid w:val="00647172"/>
    <w:rsid w:val="0064748C"/>
    <w:rsid w:val="00647D87"/>
    <w:rsid w:val="0065116F"/>
    <w:rsid w:val="006513B5"/>
    <w:rsid w:val="00652337"/>
    <w:rsid w:val="006554D2"/>
    <w:rsid w:val="00655520"/>
    <w:rsid w:val="006558C4"/>
    <w:rsid w:val="00656E3D"/>
    <w:rsid w:val="006603F5"/>
    <w:rsid w:val="0066046B"/>
    <w:rsid w:val="0066081B"/>
    <w:rsid w:val="00661F7D"/>
    <w:rsid w:val="006625DC"/>
    <w:rsid w:val="00663287"/>
    <w:rsid w:val="00664687"/>
    <w:rsid w:val="00664D57"/>
    <w:rsid w:val="00665365"/>
    <w:rsid w:val="006657DA"/>
    <w:rsid w:val="00665A92"/>
    <w:rsid w:val="00667DAC"/>
    <w:rsid w:val="00670570"/>
    <w:rsid w:val="00670619"/>
    <w:rsid w:val="0067067C"/>
    <w:rsid w:val="0067247C"/>
    <w:rsid w:val="00672CF5"/>
    <w:rsid w:val="006744BD"/>
    <w:rsid w:val="00674BC4"/>
    <w:rsid w:val="00674D05"/>
    <w:rsid w:val="006767E2"/>
    <w:rsid w:val="006773AD"/>
    <w:rsid w:val="00680DBE"/>
    <w:rsid w:val="00682106"/>
    <w:rsid w:val="006830FB"/>
    <w:rsid w:val="00683EB7"/>
    <w:rsid w:val="006847E5"/>
    <w:rsid w:val="00685109"/>
    <w:rsid w:val="00685C40"/>
    <w:rsid w:val="00686D92"/>
    <w:rsid w:val="006910A3"/>
    <w:rsid w:val="00692AD1"/>
    <w:rsid w:val="00692E64"/>
    <w:rsid w:val="00693516"/>
    <w:rsid w:val="00693B09"/>
    <w:rsid w:val="006945D1"/>
    <w:rsid w:val="00694D7D"/>
    <w:rsid w:val="00695441"/>
    <w:rsid w:val="00696227"/>
    <w:rsid w:val="0069626E"/>
    <w:rsid w:val="006A20F5"/>
    <w:rsid w:val="006A2DA9"/>
    <w:rsid w:val="006A415A"/>
    <w:rsid w:val="006A4686"/>
    <w:rsid w:val="006A4ED5"/>
    <w:rsid w:val="006A6197"/>
    <w:rsid w:val="006A6F7E"/>
    <w:rsid w:val="006B1552"/>
    <w:rsid w:val="006B1568"/>
    <w:rsid w:val="006B2536"/>
    <w:rsid w:val="006B2C9C"/>
    <w:rsid w:val="006B2EEC"/>
    <w:rsid w:val="006B4513"/>
    <w:rsid w:val="006B6492"/>
    <w:rsid w:val="006B755A"/>
    <w:rsid w:val="006C0C07"/>
    <w:rsid w:val="006C25BE"/>
    <w:rsid w:val="006C2EDB"/>
    <w:rsid w:val="006C4F76"/>
    <w:rsid w:val="006C5F66"/>
    <w:rsid w:val="006C66B7"/>
    <w:rsid w:val="006C6DF2"/>
    <w:rsid w:val="006C6EB2"/>
    <w:rsid w:val="006C792A"/>
    <w:rsid w:val="006D169F"/>
    <w:rsid w:val="006D1738"/>
    <w:rsid w:val="006D1DC6"/>
    <w:rsid w:val="006D25B1"/>
    <w:rsid w:val="006D4669"/>
    <w:rsid w:val="006D47FC"/>
    <w:rsid w:val="006D504D"/>
    <w:rsid w:val="006D597D"/>
    <w:rsid w:val="006D5DBC"/>
    <w:rsid w:val="006D65FE"/>
    <w:rsid w:val="006D76FB"/>
    <w:rsid w:val="006E052C"/>
    <w:rsid w:val="006E0D1F"/>
    <w:rsid w:val="006E13B2"/>
    <w:rsid w:val="006E1DFD"/>
    <w:rsid w:val="006E2829"/>
    <w:rsid w:val="006E4A07"/>
    <w:rsid w:val="006E4F27"/>
    <w:rsid w:val="006E5432"/>
    <w:rsid w:val="006E5813"/>
    <w:rsid w:val="006E7E97"/>
    <w:rsid w:val="006F00A6"/>
    <w:rsid w:val="006F0490"/>
    <w:rsid w:val="006F16F6"/>
    <w:rsid w:val="006F1FC3"/>
    <w:rsid w:val="006F27B7"/>
    <w:rsid w:val="006F3B1F"/>
    <w:rsid w:val="006F5789"/>
    <w:rsid w:val="006F65AE"/>
    <w:rsid w:val="00700F06"/>
    <w:rsid w:val="00701329"/>
    <w:rsid w:val="007033C3"/>
    <w:rsid w:val="007039AE"/>
    <w:rsid w:val="00703C0C"/>
    <w:rsid w:val="00704170"/>
    <w:rsid w:val="00706105"/>
    <w:rsid w:val="0070666F"/>
    <w:rsid w:val="007112E5"/>
    <w:rsid w:val="007158E5"/>
    <w:rsid w:val="00716C94"/>
    <w:rsid w:val="007175E7"/>
    <w:rsid w:val="00717946"/>
    <w:rsid w:val="00717FAB"/>
    <w:rsid w:val="007234A7"/>
    <w:rsid w:val="007236CA"/>
    <w:rsid w:val="00725955"/>
    <w:rsid w:val="00726BD1"/>
    <w:rsid w:val="00727ACA"/>
    <w:rsid w:val="007308F8"/>
    <w:rsid w:val="00731A8F"/>
    <w:rsid w:val="007321E1"/>
    <w:rsid w:val="00732E8F"/>
    <w:rsid w:val="0073327A"/>
    <w:rsid w:val="0073392A"/>
    <w:rsid w:val="00733A25"/>
    <w:rsid w:val="00734B74"/>
    <w:rsid w:val="00734B93"/>
    <w:rsid w:val="00735BD3"/>
    <w:rsid w:val="00735F70"/>
    <w:rsid w:val="007365B5"/>
    <w:rsid w:val="00736E95"/>
    <w:rsid w:val="00736EBD"/>
    <w:rsid w:val="00736EF7"/>
    <w:rsid w:val="00737181"/>
    <w:rsid w:val="007371F1"/>
    <w:rsid w:val="00737794"/>
    <w:rsid w:val="00737E06"/>
    <w:rsid w:val="00740700"/>
    <w:rsid w:val="00741885"/>
    <w:rsid w:val="00742621"/>
    <w:rsid w:val="00742A0B"/>
    <w:rsid w:val="00742CD8"/>
    <w:rsid w:val="00743CDB"/>
    <w:rsid w:val="00744A0F"/>
    <w:rsid w:val="00744A9E"/>
    <w:rsid w:val="007461AC"/>
    <w:rsid w:val="00746304"/>
    <w:rsid w:val="00750252"/>
    <w:rsid w:val="00752827"/>
    <w:rsid w:val="007530BB"/>
    <w:rsid w:val="007545B7"/>
    <w:rsid w:val="00755E17"/>
    <w:rsid w:val="00756E57"/>
    <w:rsid w:val="00756EA4"/>
    <w:rsid w:val="00757AE7"/>
    <w:rsid w:val="007612E5"/>
    <w:rsid w:val="0076161F"/>
    <w:rsid w:val="00762C05"/>
    <w:rsid w:val="0076328D"/>
    <w:rsid w:val="0076355E"/>
    <w:rsid w:val="00763B8F"/>
    <w:rsid w:val="00764E0D"/>
    <w:rsid w:val="007650F5"/>
    <w:rsid w:val="00765EA2"/>
    <w:rsid w:val="00765FC2"/>
    <w:rsid w:val="00766428"/>
    <w:rsid w:val="00766859"/>
    <w:rsid w:val="00766F93"/>
    <w:rsid w:val="00766FCC"/>
    <w:rsid w:val="0076776D"/>
    <w:rsid w:val="0077056E"/>
    <w:rsid w:val="00770E44"/>
    <w:rsid w:val="00772052"/>
    <w:rsid w:val="007726C7"/>
    <w:rsid w:val="00773DD4"/>
    <w:rsid w:val="00773FEC"/>
    <w:rsid w:val="0077488C"/>
    <w:rsid w:val="00775320"/>
    <w:rsid w:val="00776038"/>
    <w:rsid w:val="00776514"/>
    <w:rsid w:val="00777F73"/>
    <w:rsid w:val="00780B09"/>
    <w:rsid w:val="00780BC4"/>
    <w:rsid w:val="00781DAB"/>
    <w:rsid w:val="0078291C"/>
    <w:rsid w:val="0078301D"/>
    <w:rsid w:val="0078310B"/>
    <w:rsid w:val="00784C60"/>
    <w:rsid w:val="00785E7C"/>
    <w:rsid w:val="0078606C"/>
    <w:rsid w:val="00786E57"/>
    <w:rsid w:val="00787863"/>
    <w:rsid w:val="00787F03"/>
    <w:rsid w:val="0079049E"/>
    <w:rsid w:val="007913DB"/>
    <w:rsid w:val="0079204D"/>
    <w:rsid w:val="00792FE8"/>
    <w:rsid w:val="00793BF3"/>
    <w:rsid w:val="00794C9C"/>
    <w:rsid w:val="007959A7"/>
    <w:rsid w:val="00797514"/>
    <w:rsid w:val="00797BBA"/>
    <w:rsid w:val="007A0B9A"/>
    <w:rsid w:val="007A12A0"/>
    <w:rsid w:val="007A18EB"/>
    <w:rsid w:val="007A1ADE"/>
    <w:rsid w:val="007A290F"/>
    <w:rsid w:val="007A399A"/>
    <w:rsid w:val="007A3E44"/>
    <w:rsid w:val="007A45B0"/>
    <w:rsid w:val="007A4DD3"/>
    <w:rsid w:val="007A7446"/>
    <w:rsid w:val="007A7AC6"/>
    <w:rsid w:val="007B0B84"/>
    <w:rsid w:val="007B0F44"/>
    <w:rsid w:val="007B469C"/>
    <w:rsid w:val="007B541F"/>
    <w:rsid w:val="007B5D6E"/>
    <w:rsid w:val="007B5DFA"/>
    <w:rsid w:val="007B684C"/>
    <w:rsid w:val="007C119F"/>
    <w:rsid w:val="007C1CA0"/>
    <w:rsid w:val="007C266D"/>
    <w:rsid w:val="007C4860"/>
    <w:rsid w:val="007C5472"/>
    <w:rsid w:val="007C56E3"/>
    <w:rsid w:val="007C5A6E"/>
    <w:rsid w:val="007C7363"/>
    <w:rsid w:val="007C7FDD"/>
    <w:rsid w:val="007D0768"/>
    <w:rsid w:val="007D1AAC"/>
    <w:rsid w:val="007D3487"/>
    <w:rsid w:val="007D37D9"/>
    <w:rsid w:val="007D4154"/>
    <w:rsid w:val="007D41A2"/>
    <w:rsid w:val="007D4489"/>
    <w:rsid w:val="007D454F"/>
    <w:rsid w:val="007D4C0C"/>
    <w:rsid w:val="007D4D51"/>
    <w:rsid w:val="007D562E"/>
    <w:rsid w:val="007D5CBD"/>
    <w:rsid w:val="007D7E0F"/>
    <w:rsid w:val="007D7E16"/>
    <w:rsid w:val="007D7E22"/>
    <w:rsid w:val="007E0960"/>
    <w:rsid w:val="007E19F7"/>
    <w:rsid w:val="007E3985"/>
    <w:rsid w:val="007E69E3"/>
    <w:rsid w:val="007E6FF7"/>
    <w:rsid w:val="007E7A3B"/>
    <w:rsid w:val="007F036A"/>
    <w:rsid w:val="007F1D07"/>
    <w:rsid w:val="007F234F"/>
    <w:rsid w:val="007F2D81"/>
    <w:rsid w:val="007F3F45"/>
    <w:rsid w:val="007F6A6A"/>
    <w:rsid w:val="007F6D31"/>
    <w:rsid w:val="007F7FD1"/>
    <w:rsid w:val="00801544"/>
    <w:rsid w:val="00801853"/>
    <w:rsid w:val="00802344"/>
    <w:rsid w:val="00802BC3"/>
    <w:rsid w:val="008034E0"/>
    <w:rsid w:val="00803E2A"/>
    <w:rsid w:val="00804ACC"/>
    <w:rsid w:val="0080543A"/>
    <w:rsid w:val="008062EE"/>
    <w:rsid w:val="00807920"/>
    <w:rsid w:val="00810C56"/>
    <w:rsid w:val="00811F3F"/>
    <w:rsid w:val="00811FD0"/>
    <w:rsid w:val="00812DBD"/>
    <w:rsid w:val="00812E83"/>
    <w:rsid w:val="00813761"/>
    <w:rsid w:val="00815B55"/>
    <w:rsid w:val="00815EBB"/>
    <w:rsid w:val="008169FA"/>
    <w:rsid w:val="00816FD8"/>
    <w:rsid w:val="00817FF5"/>
    <w:rsid w:val="008200E0"/>
    <w:rsid w:val="008206E3"/>
    <w:rsid w:val="00820A5B"/>
    <w:rsid w:val="00820B98"/>
    <w:rsid w:val="008217BD"/>
    <w:rsid w:val="00821B14"/>
    <w:rsid w:val="00821D54"/>
    <w:rsid w:val="00821FA6"/>
    <w:rsid w:val="00822978"/>
    <w:rsid w:val="0082297D"/>
    <w:rsid w:val="0082354E"/>
    <w:rsid w:val="00826402"/>
    <w:rsid w:val="00826CC3"/>
    <w:rsid w:val="00830C63"/>
    <w:rsid w:val="00831E21"/>
    <w:rsid w:val="00834725"/>
    <w:rsid w:val="00834DA9"/>
    <w:rsid w:val="008350BB"/>
    <w:rsid w:val="0083626D"/>
    <w:rsid w:val="00836EB1"/>
    <w:rsid w:val="00840F78"/>
    <w:rsid w:val="00842A48"/>
    <w:rsid w:val="00842DAE"/>
    <w:rsid w:val="00842FA8"/>
    <w:rsid w:val="008449D4"/>
    <w:rsid w:val="00844D45"/>
    <w:rsid w:val="00845CD8"/>
    <w:rsid w:val="00846008"/>
    <w:rsid w:val="00846577"/>
    <w:rsid w:val="008467D4"/>
    <w:rsid w:val="00846B12"/>
    <w:rsid w:val="008479F5"/>
    <w:rsid w:val="00850A3E"/>
    <w:rsid w:val="00850C47"/>
    <w:rsid w:val="00851249"/>
    <w:rsid w:val="0085172B"/>
    <w:rsid w:val="00851D92"/>
    <w:rsid w:val="008522E2"/>
    <w:rsid w:val="0085236A"/>
    <w:rsid w:val="008531E6"/>
    <w:rsid w:val="00854244"/>
    <w:rsid w:val="0085468B"/>
    <w:rsid w:val="0085487A"/>
    <w:rsid w:val="00855B7C"/>
    <w:rsid w:val="0085726A"/>
    <w:rsid w:val="0086088F"/>
    <w:rsid w:val="00860C4A"/>
    <w:rsid w:val="00860DDE"/>
    <w:rsid w:val="00861B5F"/>
    <w:rsid w:val="00862375"/>
    <w:rsid w:val="00862909"/>
    <w:rsid w:val="00862B7D"/>
    <w:rsid w:val="00862C6E"/>
    <w:rsid w:val="0086319C"/>
    <w:rsid w:val="00863B57"/>
    <w:rsid w:val="00863DFB"/>
    <w:rsid w:val="00864945"/>
    <w:rsid w:val="00865C95"/>
    <w:rsid w:val="00867936"/>
    <w:rsid w:val="008725EC"/>
    <w:rsid w:val="008736E1"/>
    <w:rsid w:val="0087431A"/>
    <w:rsid w:val="008749A9"/>
    <w:rsid w:val="008753C8"/>
    <w:rsid w:val="00876556"/>
    <w:rsid w:val="008766FB"/>
    <w:rsid w:val="008778C4"/>
    <w:rsid w:val="00877CB6"/>
    <w:rsid w:val="00880A59"/>
    <w:rsid w:val="008826A5"/>
    <w:rsid w:val="00882DF9"/>
    <w:rsid w:val="008840C4"/>
    <w:rsid w:val="00884C3D"/>
    <w:rsid w:val="00887BB6"/>
    <w:rsid w:val="00891007"/>
    <w:rsid w:val="008911D3"/>
    <w:rsid w:val="00891D22"/>
    <w:rsid w:val="00891E48"/>
    <w:rsid w:val="00891E98"/>
    <w:rsid w:val="00892183"/>
    <w:rsid w:val="0089239D"/>
    <w:rsid w:val="00892E6A"/>
    <w:rsid w:val="00893921"/>
    <w:rsid w:val="0089425D"/>
    <w:rsid w:val="00897409"/>
    <w:rsid w:val="008976B3"/>
    <w:rsid w:val="008A0D82"/>
    <w:rsid w:val="008A1C9A"/>
    <w:rsid w:val="008A1ECB"/>
    <w:rsid w:val="008A258C"/>
    <w:rsid w:val="008A2FCE"/>
    <w:rsid w:val="008A3073"/>
    <w:rsid w:val="008A6477"/>
    <w:rsid w:val="008A6636"/>
    <w:rsid w:val="008B0412"/>
    <w:rsid w:val="008B0575"/>
    <w:rsid w:val="008B0D05"/>
    <w:rsid w:val="008B1BCD"/>
    <w:rsid w:val="008B1DD1"/>
    <w:rsid w:val="008B3283"/>
    <w:rsid w:val="008B3A1C"/>
    <w:rsid w:val="008B5C67"/>
    <w:rsid w:val="008B733D"/>
    <w:rsid w:val="008C0ED4"/>
    <w:rsid w:val="008C169C"/>
    <w:rsid w:val="008C1DB6"/>
    <w:rsid w:val="008C1EBC"/>
    <w:rsid w:val="008C25A7"/>
    <w:rsid w:val="008C278D"/>
    <w:rsid w:val="008C2EB1"/>
    <w:rsid w:val="008C3586"/>
    <w:rsid w:val="008C50BD"/>
    <w:rsid w:val="008C62E2"/>
    <w:rsid w:val="008C631D"/>
    <w:rsid w:val="008D0730"/>
    <w:rsid w:val="008D0940"/>
    <w:rsid w:val="008D0BEF"/>
    <w:rsid w:val="008D1805"/>
    <w:rsid w:val="008D47FE"/>
    <w:rsid w:val="008D5E1F"/>
    <w:rsid w:val="008D5F4F"/>
    <w:rsid w:val="008D6D82"/>
    <w:rsid w:val="008D72D3"/>
    <w:rsid w:val="008D7FF6"/>
    <w:rsid w:val="008E0AED"/>
    <w:rsid w:val="008E1C44"/>
    <w:rsid w:val="008E4B22"/>
    <w:rsid w:val="008E5FDB"/>
    <w:rsid w:val="008E6C97"/>
    <w:rsid w:val="008F419F"/>
    <w:rsid w:val="008F510A"/>
    <w:rsid w:val="008F53A6"/>
    <w:rsid w:val="0090131A"/>
    <w:rsid w:val="00901728"/>
    <w:rsid w:val="00901E3B"/>
    <w:rsid w:val="00903345"/>
    <w:rsid w:val="00903907"/>
    <w:rsid w:val="00904C02"/>
    <w:rsid w:val="00904F5E"/>
    <w:rsid w:val="009052E2"/>
    <w:rsid w:val="00905513"/>
    <w:rsid w:val="00905C7F"/>
    <w:rsid w:val="00905CC7"/>
    <w:rsid w:val="009073E5"/>
    <w:rsid w:val="009079E2"/>
    <w:rsid w:val="009107E6"/>
    <w:rsid w:val="00912406"/>
    <w:rsid w:val="009128CA"/>
    <w:rsid w:val="00913755"/>
    <w:rsid w:val="00915059"/>
    <w:rsid w:val="00915273"/>
    <w:rsid w:val="00915BE5"/>
    <w:rsid w:val="00915DD5"/>
    <w:rsid w:val="00916D7C"/>
    <w:rsid w:val="00917A1B"/>
    <w:rsid w:val="009213D1"/>
    <w:rsid w:val="009215FB"/>
    <w:rsid w:val="00921947"/>
    <w:rsid w:val="00921A71"/>
    <w:rsid w:val="009223C7"/>
    <w:rsid w:val="009231FB"/>
    <w:rsid w:val="00923A3C"/>
    <w:rsid w:val="00924480"/>
    <w:rsid w:val="0092485A"/>
    <w:rsid w:val="0092527D"/>
    <w:rsid w:val="00925ED9"/>
    <w:rsid w:val="00926845"/>
    <w:rsid w:val="00926E84"/>
    <w:rsid w:val="009314DC"/>
    <w:rsid w:val="009318E7"/>
    <w:rsid w:val="00935812"/>
    <w:rsid w:val="00936138"/>
    <w:rsid w:val="00936AFA"/>
    <w:rsid w:val="009370AF"/>
    <w:rsid w:val="00937B9D"/>
    <w:rsid w:val="0094055B"/>
    <w:rsid w:val="00940B76"/>
    <w:rsid w:val="00941071"/>
    <w:rsid w:val="0094128B"/>
    <w:rsid w:val="009416CE"/>
    <w:rsid w:val="009418BA"/>
    <w:rsid w:val="00941C2C"/>
    <w:rsid w:val="00942B12"/>
    <w:rsid w:val="00942B7C"/>
    <w:rsid w:val="00943B44"/>
    <w:rsid w:val="00943CCE"/>
    <w:rsid w:val="00945E15"/>
    <w:rsid w:val="00947697"/>
    <w:rsid w:val="009501CB"/>
    <w:rsid w:val="00950C4B"/>
    <w:rsid w:val="0095145B"/>
    <w:rsid w:val="00952944"/>
    <w:rsid w:val="00953B8A"/>
    <w:rsid w:val="009544B7"/>
    <w:rsid w:val="009544CE"/>
    <w:rsid w:val="0095459F"/>
    <w:rsid w:val="0095765C"/>
    <w:rsid w:val="0096090C"/>
    <w:rsid w:val="009611D0"/>
    <w:rsid w:val="00962A82"/>
    <w:rsid w:val="00963213"/>
    <w:rsid w:val="00964687"/>
    <w:rsid w:val="00965D10"/>
    <w:rsid w:val="00967911"/>
    <w:rsid w:val="00967AB8"/>
    <w:rsid w:val="009702C0"/>
    <w:rsid w:val="00970CAA"/>
    <w:rsid w:val="00971DB3"/>
    <w:rsid w:val="00972F84"/>
    <w:rsid w:val="0097326A"/>
    <w:rsid w:val="0097332B"/>
    <w:rsid w:val="009733A0"/>
    <w:rsid w:val="0097424D"/>
    <w:rsid w:val="00976EF7"/>
    <w:rsid w:val="0098047D"/>
    <w:rsid w:val="009838A5"/>
    <w:rsid w:val="0098575E"/>
    <w:rsid w:val="009870B8"/>
    <w:rsid w:val="00987DAD"/>
    <w:rsid w:val="0099137E"/>
    <w:rsid w:val="00991E97"/>
    <w:rsid w:val="00992D96"/>
    <w:rsid w:val="00993845"/>
    <w:rsid w:val="0099407D"/>
    <w:rsid w:val="0099448A"/>
    <w:rsid w:val="00994E45"/>
    <w:rsid w:val="00995988"/>
    <w:rsid w:val="00996613"/>
    <w:rsid w:val="0099727A"/>
    <w:rsid w:val="009973FE"/>
    <w:rsid w:val="009A0FFD"/>
    <w:rsid w:val="009A2815"/>
    <w:rsid w:val="009A30A4"/>
    <w:rsid w:val="009A46B9"/>
    <w:rsid w:val="009A6007"/>
    <w:rsid w:val="009A62D3"/>
    <w:rsid w:val="009A71CB"/>
    <w:rsid w:val="009A7302"/>
    <w:rsid w:val="009B1B67"/>
    <w:rsid w:val="009B1CF2"/>
    <w:rsid w:val="009B4B06"/>
    <w:rsid w:val="009B4BEA"/>
    <w:rsid w:val="009B54FD"/>
    <w:rsid w:val="009B6484"/>
    <w:rsid w:val="009C6F3F"/>
    <w:rsid w:val="009D399D"/>
    <w:rsid w:val="009D514B"/>
    <w:rsid w:val="009D5518"/>
    <w:rsid w:val="009D6669"/>
    <w:rsid w:val="009D7956"/>
    <w:rsid w:val="009D7DA6"/>
    <w:rsid w:val="009E0CB3"/>
    <w:rsid w:val="009E0F7D"/>
    <w:rsid w:val="009E4B90"/>
    <w:rsid w:val="009E6366"/>
    <w:rsid w:val="009E6CD4"/>
    <w:rsid w:val="009E78A2"/>
    <w:rsid w:val="009F15E6"/>
    <w:rsid w:val="009F24E3"/>
    <w:rsid w:val="009F2FC7"/>
    <w:rsid w:val="009F3C32"/>
    <w:rsid w:val="009F4138"/>
    <w:rsid w:val="009F5E43"/>
    <w:rsid w:val="009F64ED"/>
    <w:rsid w:val="009F6D4D"/>
    <w:rsid w:val="009F753E"/>
    <w:rsid w:val="009F7AAF"/>
    <w:rsid w:val="009F7E00"/>
    <w:rsid w:val="00A00991"/>
    <w:rsid w:val="00A02892"/>
    <w:rsid w:val="00A02976"/>
    <w:rsid w:val="00A033A7"/>
    <w:rsid w:val="00A03724"/>
    <w:rsid w:val="00A064F3"/>
    <w:rsid w:val="00A06833"/>
    <w:rsid w:val="00A07378"/>
    <w:rsid w:val="00A10AB8"/>
    <w:rsid w:val="00A10F51"/>
    <w:rsid w:val="00A1192D"/>
    <w:rsid w:val="00A11A4A"/>
    <w:rsid w:val="00A1262B"/>
    <w:rsid w:val="00A12890"/>
    <w:rsid w:val="00A129D7"/>
    <w:rsid w:val="00A13588"/>
    <w:rsid w:val="00A13DF4"/>
    <w:rsid w:val="00A171E6"/>
    <w:rsid w:val="00A17E7F"/>
    <w:rsid w:val="00A21147"/>
    <w:rsid w:val="00A22FA6"/>
    <w:rsid w:val="00A23E52"/>
    <w:rsid w:val="00A2433E"/>
    <w:rsid w:val="00A26323"/>
    <w:rsid w:val="00A26506"/>
    <w:rsid w:val="00A301E6"/>
    <w:rsid w:val="00A30E98"/>
    <w:rsid w:val="00A31EF2"/>
    <w:rsid w:val="00A33A72"/>
    <w:rsid w:val="00A3420A"/>
    <w:rsid w:val="00A34CA0"/>
    <w:rsid w:val="00A3624A"/>
    <w:rsid w:val="00A368C5"/>
    <w:rsid w:val="00A36FD3"/>
    <w:rsid w:val="00A37CF8"/>
    <w:rsid w:val="00A4047F"/>
    <w:rsid w:val="00A40A8D"/>
    <w:rsid w:val="00A414EA"/>
    <w:rsid w:val="00A4174B"/>
    <w:rsid w:val="00A42E70"/>
    <w:rsid w:val="00A42EF3"/>
    <w:rsid w:val="00A4313D"/>
    <w:rsid w:val="00A472AB"/>
    <w:rsid w:val="00A47AD9"/>
    <w:rsid w:val="00A50021"/>
    <w:rsid w:val="00A5014C"/>
    <w:rsid w:val="00A5064B"/>
    <w:rsid w:val="00A51646"/>
    <w:rsid w:val="00A52442"/>
    <w:rsid w:val="00A52488"/>
    <w:rsid w:val="00A53C03"/>
    <w:rsid w:val="00A54BEB"/>
    <w:rsid w:val="00A557A8"/>
    <w:rsid w:val="00A56A7E"/>
    <w:rsid w:val="00A57104"/>
    <w:rsid w:val="00A60840"/>
    <w:rsid w:val="00A617F8"/>
    <w:rsid w:val="00A6211B"/>
    <w:rsid w:val="00A62F71"/>
    <w:rsid w:val="00A72911"/>
    <w:rsid w:val="00A7345A"/>
    <w:rsid w:val="00A751BD"/>
    <w:rsid w:val="00A75FA6"/>
    <w:rsid w:val="00A76F5D"/>
    <w:rsid w:val="00A77396"/>
    <w:rsid w:val="00A77C62"/>
    <w:rsid w:val="00A77FC9"/>
    <w:rsid w:val="00A801BE"/>
    <w:rsid w:val="00A80C1F"/>
    <w:rsid w:val="00A82C01"/>
    <w:rsid w:val="00A8499D"/>
    <w:rsid w:val="00A84FB9"/>
    <w:rsid w:val="00A86569"/>
    <w:rsid w:val="00A867D7"/>
    <w:rsid w:val="00A8796F"/>
    <w:rsid w:val="00A904CD"/>
    <w:rsid w:val="00A905EA"/>
    <w:rsid w:val="00A91EE6"/>
    <w:rsid w:val="00A938DB"/>
    <w:rsid w:val="00A93D75"/>
    <w:rsid w:val="00A93D93"/>
    <w:rsid w:val="00A93ED9"/>
    <w:rsid w:val="00A943DA"/>
    <w:rsid w:val="00A94550"/>
    <w:rsid w:val="00A94A21"/>
    <w:rsid w:val="00A957AA"/>
    <w:rsid w:val="00A97F78"/>
    <w:rsid w:val="00AA26EC"/>
    <w:rsid w:val="00AA30C3"/>
    <w:rsid w:val="00AA375E"/>
    <w:rsid w:val="00AA4759"/>
    <w:rsid w:val="00AA49CD"/>
    <w:rsid w:val="00AA4B54"/>
    <w:rsid w:val="00AA4C24"/>
    <w:rsid w:val="00AA5131"/>
    <w:rsid w:val="00AA644F"/>
    <w:rsid w:val="00AA7262"/>
    <w:rsid w:val="00AB0C80"/>
    <w:rsid w:val="00AB12AF"/>
    <w:rsid w:val="00AB24F3"/>
    <w:rsid w:val="00AB2AEC"/>
    <w:rsid w:val="00AB2F4A"/>
    <w:rsid w:val="00AB372C"/>
    <w:rsid w:val="00AB456A"/>
    <w:rsid w:val="00AB4B0F"/>
    <w:rsid w:val="00AB4C19"/>
    <w:rsid w:val="00AB4D1C"/>
    <w:rsid w:val="00AB6945"/>
    <w:rsid w:val="00AB6E7D"/>
    <w:rsid w:val="00AB700A"/>
    <w:rsid w:val="00AC13B2"/>
    <w:rsid w:val="00AC3820"/>
    <w:rsid w:val="00AC44CB"/>
    <w:rsid w:val="00AC4BF8"/>
    <w:rsid w:val="00AC6368"/>
    <w:rsid w:val="00AC7672"/>
    <w:rsid w:val="00AC7BFB"/>
    <w:rsid w:val="00AD09F4"/>
    <w:rsid w:val="00AD0C30"/>
    <w:rsid w:val="00AD176C"/>
    <w:rsid w:val="00AD3A50"/>
    <w:rsid w:val="00AD4C17"/>
    <w:rsid w:val="00AD6341"/>
    <w:rsid w:val="00AD68D9"/>
    <w:rsid w:val="00AD6EC2"/>
    <w:rsid w:val="00AD7C8A"/>
    <w:rsid w:val="00AE09FD"/>
    <w:rsid w:val="00AE0D7D"/>
    <w:rsid w:val="00AE14E3"/>
    <w:rsid w:val="00AE1C97"/>
    <w:rsid w:val="00AE2C94"/>
    <w:rsid w:val="00AE2DE0"/>
    <w:rsid w:val="00AE303E"/>
    <w:rsid w:val="00AE3D26"/>
    <w:rsid w:val="00AE4185"/>
    <w:rsid w:val="00AE4386"/>
    <w:rsid w:val="00AE47DA"/>
    <w:rsid w:val="00AE6BAB"/>
    <w:rsid w:val="00AE7371"/>
    <w:rsid w:val="00AE7E68"/>
    <w:rsid w:val="00AF160A"/>
    <w:rsid w:val="00AF2449"/>
    <w:rsid w:val="00AF2790"/>
    <w:rsid w:val="00AF3265"/>
    <w:rsid w:val="00AF389A"/>
    <w:rsid w:val="00AF3CB4"/>
    <w:rsid w:val="00AF67D6"/>
    <w:rsid w:val="00AF766C"/>
    <w:rsid w:val="00AF7A60"/>
    <w:rsid w:val="00AF7AEF"/>
    <w:rsid w:val="00AF7E78"/>
    <w:rsid w:val="00B025CE"/>
    <w:rsid w:val="00B0596B"/>
    <w:rsid w:val="00B07CB6"/>
    <w:rsid w:val="00B111B8"/>
    <w:rsid w:val="00B12499"/>
    <w:rsid w:val="00B13D44"/>
    <w:rsid w:val="00B14769"/>
    <w:rsid w:val="00B14ED2"/>
    <w:rsid w:val="00B150CB"/>
    <w:rsid w:val="00B151C6"/>
    <w:rsid w:val="00B16274"/>
    <w:rsid w:val="00B16499"/>
    <w:rsid w:val="00B16851"/>
    <w:rsid w:val="00B17530"/>
    <w:rsid w:val="00B21523"/>
    <w:rsid w:val="00B22F02"/>
    <w:rsid w:val="00B233E4"/>
    <w:rsid w:val="00B24094"/>
    <w:rsid w:val="00B24855"/>
    <w:rsid w:val="00B26553"/>
    <w:rsid w:val="00B2755F"/>
    <w:rsid w:val="00B300D6"/>
    <w:rsid w:val="00B307B9"/>
    <w:rsid w:val="00B3244A"/>
    <w:rsid w:val="00B33041"/>
    <w:rsid w:val="00B33229"/>
    <w:rsid w:val="00B337A6"/>
    <w:rsid w:val="00B33B3D"/>
    <w:rsid w:val="00B345C0"/>
    <w:rsid w:val="00B357E9"/>
    <w:rsid w:val="00B3630A"/>
    <w:rsid w:val="00B36378"/>
    <w:rsid w:val="00B36723"/>
    <w:rsid w:val="00B371AB"/>
    <w:rsid w:val="00B378F4"/>
    <w:rsid w:val="00B41578"/>
    <w:rsid w:val="00B439E5"/>
    <w:rsid w:val="00B44DC3"/>
    <w:rsid w:val="00B4621E"/>
    <w:rsid w:val="00B463F7"/>
    <w:rsid w:val="00B46C97"/>
    <w:rsid w:val="00B470D6"/>
    <w:rsid w:val="00B475F1"/>
    <w:rsid w:val="00B50311"/>
    <w:rsid w:val="00B50E36"/>
    <w:rsid w:val="00B523D0"/>
    <w:rsid w:val="00B532BF"/>
    <w:rsid w:val="00B536C2"/>
    <w:rsid w:val="00B53EB3"/>
    <w:rsid w:val="00B54476"/>
    <w:rsid w:val="00B54E9E"/>
    <w:rsid w:val="00B55E0A"/>
    <w:rsid w:val="00B56DA6"/>
    <w:rsid w:val="00B57637"/>
    <w:rsid w:val="00B57BF9"/>
    <w:rsid w:val="00B60500"/>
    <w:rsid w:val="00B6083F"/>
    <w:rsid w:val="00B60BDE"/>
    <w:rsid w:val="00B620A4"/>
    <w:rsid w:val="00B62160"/>
    <w:rsid w:val="00B62845"/>
    <w:rsid w:val="00B645FB"/>
    <w:rsid w:val="00B64BA2"/>
    <w:rsid w:val="00B65A4D"/>
    <w:rsid w:val="00B660CF"/>
    <w:rsid w:val="00B66304"/>
    <w:rsid w:val="00B702B1"/>
    <w:rsid w:val="00B71B8C"/>
    <w:rsid w:val="00B71D0E"/>
    <w:rsid w:val="00B721A0"/>
    <w:rsid w:val="00B7280D"/>
    <w:rsid w:val="00B72854"/>
    <w:rsid w:val="00B7608D"/>
    <w:rsid w:val="00B770A2"/>
    <w:rsid w:val="00B770AF"/>
    <w:rsid w:val="00B823FE"/>
    <w:rsid w:val="00B82C7E"/>
    <w:rsid w:val="00B839E4"/>
    <w:rsid w:val="00B84259"/>
    <w:rsid w:val="00B845D6"/>
    <w:rsid w:val="00B86B1F"/>
    <w:rsid w:val="00B86E18"/>
    <w:rsid w:val="00B90311"/>
    <w:rsid w:val="00B90FB3"/>
    <w:rsid w:val="00B917D4"/>
    <w:rsid w:val="00B91FCD"/>
    <w:rsid w:val="00B93455"/>
    <w:rsid w:val="00B93767"/>
    <w:rsid w:val="00B94239"/>
    <w:rsid w:val="00B94F07"/>
    <w:rsid w:val="00B9505D"/>
    <w:rsid w:val="00B95EA8"/>
    <w:rsid w:val="00B9742E"/>
    <w:rsid w:val="00BA1363"/>
    <w:rsid w:val="00BA34C4"/>
    <w:rsid w:val="00BA35E5"/>
    <w:rsid w:val="00BA4FEB"/>
    <w:rsid w:val="00BA5198"/>
    <w:rsid w:val="00BA5B80"/>
    <w:rsid w:val="00BA6439"/>
    <w:rsid w:val="00BA6BAE"/>
    <w:rsid w:val="00BB23C3"/>
    <w:rsid w:val="00BB2CFF"/>
    <w:rsid w:val="00BB2E1B"/>
    <w:rsid w:val="00BB2EE2"/>
    <w:rsid w:val="00BB3077"/>
    <w:rsid w:val="00BB34F6"/>
    <w:rsid w:val="00BB43DB"/>
    <w:rsid w:val="00BB5AD6"/>
    <w:rsid w:val="00BB61F5"/>
    <w:rsid w:val="00BB63FA"/>
    <w:rsid w:val="00BB6B28"/>
    <w:rsid w:val="00BB7374"/>
    <w:rsid w:val="00BC1040"/>
    <w:rsid w:val="00BC119D"/>
    <w:rsid w:val="00BC267F"/>
    <w:rsid w:val="00BC290A"/>
    <w:rsid w:val="00BC2C6D"/>
    <w:rsid w:val="00BC323A"/>
    <w:rsid w:val="00BC3BE7"/>
    <w:rsid w:val="00BC3C26"/>
    <w:rsid w:val="00BC3C95"/>
    <w:rsid w:val="00BC42C0"/>
    <w:rsid w:val="00BC42C8"/>
    <w:rsid w:val="00BC620B"/>
    <w:rsid w:val="00BC7CD8"/>
    <w:rsid w:val="00BD0204"/>
    <w:rsid w:val="00BD14FF"/>
    <w:rsid w:val="00BD329C"/>
    <w:rsid w:val="00BD3C58"/>
    <w:rsid w:val="00BD43AC"/>
    <w:rsid w:val="00BD519F"/>
    <w:rsid w:val="00BD5986"/>
    <w:rsid w:val="00BD5B1C"/>
    <w:rsid w:val="00BD6BAC"/>
    <w:rsid w:val="00BD7ACF"/>
    <w:rsid w:val="00BD7F64"/>
    <w:rsid w:val="00BE1D98"/>
    <w:rsid w:val="00BE30BF"/>
    <w:rsid w:val="00BE3264"/>
    <w:rsid w:val="00BE4C9C"/>
    <w:rsid w:val="00BE51E4"/>
    <w:rsid w:val="00BE5B9A"/>
    <w:rsid w:val="00BE5F00"/>
    <w:rsid w:val="00BE6CBB"/>
    <w:rsid w:val="00BE7CE4"/>
    <w:rsid w:val="00BF00C7"/>
    <w:rsid w:val="00BF020A"/>
    <w:rsid w:val="00BF05A8"/>
    <w:rsid w:val="00BF09A1"/>
    <w:rsid w:val="00BF205B"/>
    <w:rsid w:val="00BF20B7"/>
    <w:rsid w:val="00BF31CA"/>
    <w:rsid w:val="00BF3A06"/>
    <w:rsid w:val="00BF4C46"/>
    <w:rsid w:val="00BF5779"/>
    <w:rsid w:val="00BF5937"/>
    <w:rsid w:val="00BF6E95"/>
    <w:rsid w:val="00BF6EF2"/>
    <w:rsid w:val="00C0025C"/>
    <w:rsid w:val="00C02873"/>
    <w:rsid w:val="00C0493A"/>
    <w:rsid w:val="00C05EAD"/>
    <w:rsid w:val="00C06CBA"/>
    <w:rsid w:val="00C07035"/>
    <w:rsid w:val="00C1006A"/>
    <w:rsid w:val="00C100C0"/>
    <w:rsid w:val="00C1272D"/>
    <w:rsid w:val="00C12F78"/>
    <w:rsid w:val="00C14EE6"/>
    <w:rsid w:val="00C15227"/>
    <w:rsid w:val="00C16677"/>
    <w:rsid w:val="00C16DCB"/>
    <w:rsid w:val="00C17313"/>
    <w:rsid w:val="00C17CC0"/>
    <w:rsid w:val="00C202D0"/>
    <w:rsid w:val="00C20D07"/>
    <w:rsid w:val="00C20E08"/>
    <w:rsid w:val="00C20E4C"/>
    <w:rsid w:val="00C20F65"/>
    <w:rsid w:val="00C216DC"/>
    <w:rsid w:val="00C22702"/>
    <w:rsid w:val="00C22814"/>
    <w:rsid w:val="00C23254"/>
    <w:rsid w:val="00C23ECF"/>
    <w:rsid w:val="00C24FFF"/>
    <w:rsid w:val="00C27DB8"/>
    <w:rsid w:val="00C32BC7"/>
    <w:rsid w:val="00C333A5"/>
    <w:rsid w:val="00C339CF"/>
    <w:rsid w:val="00C34415"/>
    <w:rsid w:val="00C3526E"/>
    <w:rsid w:val="00C366D6"/>
    <w:rsid w:val="00C37558"/>
    <w:rsid w:val="00C40853"/>
    <w:rsid w:val="00C4188C"/>
    <w:rsid w:val="00C4189A"/>
    <w:rsid w:val="00C41F38"/>
    <w:rsid w:val="00C42863"/>
    <w:rsid w:val="00C434C3"/>
    <w:rsid w:val="00C4391E"/>
    <w:rsid w:val="00C43D5D"/>
    <w:rsid w:val="00C512DE"/>
    <w:rsid w:val="00C51366"/>
    <w:rsid w:val="00C51CD6"/>
    <w:rsid w:val="00C522B2"/>
    <w:rsid w:val="00C523D4"/>
    <w:rsid w:val="00C53E9C"/>
    <w:rsid w:val="00C540A4"/>
    <w:rsid w:val="00C5536F"/>
    <w:rsid w:val="00C565C6"/>
    <w:rsid w:val="00C57FAB"/>
    <w:rsid w:val="00C62469"/>
    <w:rsid w:val="00C639F0"/>
    <w:rsid w:val="00C64223"/>
    <w:rsid w:val="00C652AE"/>
    <w:rsid w:val="00C65332"/>
    <w:rsid w:val="00C65489"/>
    <w:rsid w:val="00C65658"/>
    <w:rsid w:val="00C66098"/>
    <w:rsid w:val="00C66270"/>
    <w:rsid w:val="00C71083"/>
    <w:rsid w:val="00C71280"/>
    <w:rsid w:val="00C72270"/>
    <w:rsid w:val="00C72930"/>
    <w:rsid w:val="00C72DE9"/>
    <w:rsid w:val="00C7516A"/>
    <w:rsid w:val="00C76106"/>
    <w:rsid w:val="00C778E8"/>
    <w:rsid w:val="00C8049F"/>
    <w:rsid w:val="00C82F19"/>
    <w:rsid w:val="00C8377E"/>
    <w:rsid w:val="00C85B0C"/>
    <w:rsid w:val="00C92379"/>
    <w:rsid w:val="00C928CD"/>
    <w:rsid w:val="00C933C9"/>
    <w:rsid w:val="00C9364A"/>
    <w:rsid w:val="00C95CD4"/>
    <w:rsid w:val="00C971B4"/>
    <w:rsid w:val="00C97995"/>
    <w:rsid w:val="00C97B98"/>
    <w:rsid w:val="00CA1AC7"/>
    <w:rsid w:val="00CA23DB"/>
    <w:rsid w:val="00CA2499"/>
    <w:rsid w:val="00CA488D"/>
    <w:rsid w:val="00CA5045"/>
    <w:rsid w:val="00CA6A65"/>
    <w:rsid w:val="00CA6FCF"/>
    <w:rsid w:val="00CA70FE"/>
    <w:rsid w:val="00CA7112"/>
    <w:rsid w:val="00CA7629"/>
    <w:rsid w:val="00CA7EC2"/>
    <w:rsid w:val="00CB251C"/>
    <w:rsid w:val="00CB3DA0"/>
    <w:rsid w:val="00CB4E2C"/>
    <w:rsid w:val="00CC0BBB"/>
    <w:rsid w:val="00CC188E"/>
    <w:rsid w:val="00CC4B90"/>
    <w:rsid w:val="00CC4DF9"/>
    <w:rsid w:val="00CC550B"/>
    <w:rsid w:val="00CC71D9"/>
    <w:rsid w:val="00CD02E3"/>
    <w:rsid w:val="00CD0CC7"/>
    <w:rsid w:val="00CD157A"/>
    <w:rsid w:val="00CD3241"/>
    <w:rsid w:val="00CD4173"/>
    <w:rsid w:val="00CD61AE"/>
    <w:rsid w:val="00CD61FE"/>
    <w:rsid w:val="00CD65FA"/>
    <w:rsid w:val="00CD6D3D"/>
    <w:rsid w:val="00CE0069"/>
    <w:rsid w:val="00CE0142"/>
    <w:rsid w:val="00CE0DBE"/>
    <w:rsid w:val="00CE130C"/>
    <w:rsid w:val="00CE18BB"/>
    <w:rsid w:val="00CE1B89"/>
    <w:rsid w:val="00CE1F08"/>
    <w:rsid w:val="00CE21E6"/>
    <w:rsid w:val="00CE2537"/>
    <w:rsid w:val="00CE3AB2"/>
    <w:rsid w:val="00CE4B0C"/>
    <w:rsid w:val="00CE5905"/>
    <w:rsid w:val="00CE6467"/>
    <w:rsid w:val="00CE6DDC"/>
    <w:rsid w:val="00CF02D8"/>
    <w:rsid w:val="00CF1769"/>
    <w:rsid w:val="00CF3C69"/>
    <w:rsid w:val="00CF4D33"/>
    <w:rsid w:val="00CF6EF5"/>
    <w:rsid w:val="00CF7355"/>
    <w:rsid w:val="00CF745F"/>
    <w:rsid w:val="00D01DC3"/>
    <w:rsid w:val="00D0225F"/>
    <w:rsid w:val="00D02539"/>
    <w:rsid w:val="00D02D6F"/>
    <w:rsid w:val="00D02D92"/>
    <w:rsid w:val="00D04496"/>
    <w:rsid w:val="00D0516F"/>
    <w:rsid w:val="00D05C3F"/>
    <w:rsid w:val="00D06F4D"/>
    <w:rsid w:val="00D10D84"/>
    <w:rsid w:val="00D10FDB"/>
    <w:rsid w:val="00D11613"/>
    <w:rsid w:val="00D1380E"/>
    <w:rsid w:val="00D15945"/>
    <w:rsid w:val="00D16411"/>
    <w:rsid w:val="00D165FA"/>
    <w:rsid w:val="00D16EED"/>
    <w:rsid w:val="00D1763D"/>
    <w:rsid w:val="00D179AD"/>
    <w:rsid w:val="00D17C86"/>
    <w:rsid w:val="00D20B32"/>
    <w:rsid w:val="00D20B54"/>
    <w:rsid w:val="00D2257E"/>
    <w:rsid w:val="00D23043"/>
    <w:rsid w:val="00D26053"/>
    <w:rsid w:val="00D27563"/>
    <w:rsid w:val="00D3073B"/>
    <w:rsid w:val="00D30F6A"/>
    <w:rsid w:val="00D30FA0"/>
    <w:rsid w:val="00D312EF"/>
    <w:rsid w:val="00D31631"/>
    <w:rsid w:val="00D3178F"/>
    <w:rsid w:val="00D32202"/>
    <w:rsid w:val="00D33B0B"/>
    <w:rsid w:val="00D35263"/>
    <w:rsid w:val="00D36692"/>
    <w:rsid w:val="00D36A08"/>
    <w:rsid w:val="00D409FB"/>
    <w:rsid w:val="00D410DB"/>
    <w:rsid w:val="00D41175"/>
    <w:rsid w:val="00D41B43"/>
    <w:rsid w:val="00D42C4D"/>
    <w:rsid w:val="00D42CC9"/>
    <w:rsid w:val="00D42D59"/>
    <w:rsid w:val="00D4329D"/>
    <w:rsid w:val="00D4347B"/>
    <w:rsid w:val="00D43B4F"/>
    <w:rsid w:val="00D45694"/>
    <w:rsid w:val="00D45B87"/>
    <w:rsid w:val="00D479C3"/>
    <w:rsid w:val="00D47E28"/>
    <w:rsid w:val="00D50427"/>
    <w:rsid w:val="00D52F8D"/>
    <w:rsid w:val="00D53E9F"/>
    <w:rsid w:val="00D54AFB"/>
    <w:rsid w:val="00D54F75"/>
    <w:rsid w:val="00D55565"/>
    <w:rsid w:val="00D56848"/>
    <w:rsid w:val="00D626F0"/>
    <w:rsid w:val="00D63C5C"/>
    <w:rsid w:val="00D642C0"/>
    <w:rsid w:val="00D652D8"/>
    <w:rsid w:val="00D657B4"/>
    <w:rsid w:val="00D65987"/>
    <w:rsid w:val="00D66FFB"/>
    <w:rsid w:val="00D67296"/>
    <w:rsid w:val="00D67568"/>
    <w:rsid w:val="00D677BC"/>
    <w:rsid w:val="00D67C9B"/>
    <w:rsid w:val="00D7166C"/>
    <w:rsid w:val="00D71A21"/>
    <w:rsid w:val="00D72001"/>
    <w:rsid w:val="00D720DF"/>
    <w:rsid w:val="00D73959"/>
    <w:rsid w:val="00D73B8D"/>
    <w:rsid w:val="00D73F23"/>
    <w:rsid w:val="00D74BE7"/>
    <w:rsid w:val="00D753D5"/>
    <w:rsid w:val="00D75B1F"/>
    <w:rsid w:val="00D75E5F"/>
    <w:rsid w:val="00D760F1"/>
    <w:rsid w:val="00D763DA"/>
    <w:rsid w:val="00D76C36"/>
    <w:rsid w:val="00D7759A"/>
    <w:rsid w:val="00D809BB"/>
    <w:rsid w:val="00D83C50"/>
    <w:rsid w:val="00D846A2"/>
    <w:rsid w:val="00D847E3"/>
    <w:rsid w:val="00D84F49"/>
    <w:rsid w:val="00D85888"/>
    <w:rsid w:val="00D871BD"/>
    <w:rsid w:val="00D9166C"/>
    <w:rsid w:val="00D93278"/>
    <w:rsid w:val="00D93E02"/>
    <w:rsid w:val="00D94CDF"/>
    <w:rsid w:val="00D96151"/>
    <w:rsid w:val="00D96C5E"/>
    <w:rsid w:val="00D96F96"/>
    <w:rsid w:val="00DA0763"/>
    <w:rsid w:val="00DA0E92"/>
    <w:rsid w:val="00DA0EAD"/>
    <w:rsid w:val="00DA30D8"/>
    <w:rsid w:val="00DA440B"/>
    <w:rsid w:val="00DA47CD"/>
    <w:rsid w:val="00DA5265"/>
    <w:rsid w:val="00DA55CB"/>
    <w:rsid w:val="00DA6C4A"/>
    <w:rsid w:val="00DA7257"/>
    <w:rsid w:val="00DB176C"/>
    <w:rsid w:val="00DB2F15"/>
    <w:rsid w:val="00DB2F5E"/>
    <w:rsid w:val="00DB37F7"/>
    <w:rsid w:val="00DB43B6"/>
    <w:rsid w:val="00DB5A80"/>
    <w:rsid w:val="00DB757B"/>
    <w:rsid w:val="00DB77D3"/>
    <w:rsid w:val="00DB7801"/>
    <w:rsid w:val="00DB7DD8"/>
    <w:rsid w:val="00DC0845"/>
    <w:rsid w:val="00DC42B5"/>
    <w:rsid w:val="00DC49F8"/>
    <w:rsid w:val="00DC55F3"/>
    <w:rsid w:val="00DC60B0"/>
    <w:rsid w:val="00DC7BF5"/>
    <w:rsid w:val="00DD02D0"/>
    <w:rsid w:val="00DD0308"/>
    <w:rsid w:val="00DD1BA0"/>
    <w:rsid w:val="00DD4D14"/>
    <w:rsid w:val="00DD5994"/>
    <w:rsid w:val="00DD6B47"/>
    <w:rsid w:val="00DD71A3"/>
    <w:rsid w:val="00DD733C"/>
    <w:rsid w:val="00DD7EC1"/>
    <w:rsid w:val="00DE0CC8"/>
    <w:rsid w:val="00DE16BF"/>
    <w:rsid w:val="00DE44F1"/>
    <w:rsid w:val="00DE5466"/>
    <w:rsid w:val="00DE6058"/>
    <w:rsid w:val="00DE6F70"/>
    <w:rsid w:val="00DE7630"/>
    <w:rsid w:val="00DF0EA6"/>
    <w:rsid w:val="00DF322C"/>
    <w:rsid w:val="00DF3848"/>
    <w:rsid w:val="00DF3E9C"/>
    <w:rsid w:val="00DF472B"/>
    <w:rsid w:val="00DF5144"/>
    <w:rsid w:val="00DF6F01"/>
    <w:rsid w:val="00DF7109"/>
    <w:rsid w:val="00DF7E08"/>
    <w:rsid w:val="00E00FD2"/>
    <w:rsid w:val="00E01561"/>
    <w:rsid w:val="00E02125"/>
    <w:rsid w:val="00E0373A"/>
    <w:rsid w:val="00E03CA4"/>
    <w:rsid w:val="00E04AF5"/>
    <w:rsid w:val="00E05B06"/>
    <w:rsid w:val="00E05D1C"/>
    <w:rsid w:val="00E063BE"/>
    <w:rsid w:val="00E06421"/>
    <w:rsid w:val="00E069D9"/>
    <w:rsid w:val="00E10D2D"/>
    <w:rsid w:val="00E1113C"/>
    <w:rsid w:val="00E1181D"/>
    <w:rsid w:val="00E144BB"/>
    <w:rsid w:val="00E14A3F"/>
    <w:rsid w:val="00E15759"/>
    <w:rsid w:val="00E1591F"/>
    <w:rsid w:val="00E166D0"/>
    <w:rsid w:val="00E16806"/>
    <w:rsid w:val="00E16A02"/>
    <w:rsid w:val="00E17426"/>
    <w:rsid w:val="00E2017C"/>
    <w:rsid w:val="00E20286"/>
    <w:rsid w:val="00E20E19"/>
    <w:rsid w:val="00E20E21"/>
    <w:rsid w:val="00E216E0"/>
    <w:rsid w:val="00E21934"/>
    <w:rsid w:val="00E23B10"/>
    <w:rsid w:val="00E2422A"/>
    <w:rsid w:val="00E2529F"/>
    <w:rsid w:val="00E25B56"/>
    <w:rsid w:val="00E2624C"/>
    <w:rsid w:val="00E30A72"/>
    <w:rsid w:val="00E31C58"/>
    <w:rsid w:val="00E322A6"/>
    <w:rsid w:val="00E32329"/>
    <w:rsid w:val="00E33034"/>
    <w:rsid w:val="00E3389C"/>
    <w:rsid w:val="00E33FC9"/>
    <w:rsid w:val="00E35192"/>
    <w:rsid w:val="00E3616D"/>
    <w:rsid w:val="00E36792"/>
    <w:rsid w:val="00E371D3"/>
    <w:rsid w:val="00E3795A"/>
    <w:rsid w:val="00E37D21"/>
    <w:rsid w:val="00E37EAF"/>
    <w:rsid w:val="00E43104"/>
    <w:rsid w:val="00E431B7"/>
    <w:rsid w:val="00E44717"/>
    <w:rsid w:val="00E44F7D"/>
    <w:rsid w:val="00E45B4E"/>
    <w:rsid w:val="00E46312"/>
    <w:rsid w:val="00E46CC8"/>
    <w:rsid w:val="00E472C4"/>
    <w:rsid w:val="00E47340"/>
    <w:rsid w:val="00E47608"/>
    <w:rsid w:val="00E501E1"/>
    <w:rsid w:val="00E51335"/>
    <w:rsid w:val="00E514CD"/>
    <w:rsid w:val="00E53129"/>
    <w:rsid w:val="00E53AED"/>
    <w:rsid w:val="00E53CC2"/>
    <w:rsid w:val="00E55DFD"/>
    <w:rsid w:val="00E60CA5"/>
    <w:rsid w:val="00E610AB"/>
    <w:rsid w:val="00E61334"/>
    <w:rsid w:val="00E61A88"/>
    <w:rsid w:val="00E628B4"/>
    <w:rsid w:val="00E64C05"/>
    <w:rsid w:val="00E652E2"/>
    <w:rsid w:val="00E6627E"/>
    <w:rsid w:val="00E6657A"/>
    <w:rsid w:val="00E667C2"/>
    <w:rsid w:val="00E70353"/>
    <w:rsid w:val="00E723D9"/>
    <w:rsid w:val="00E72FCD"/>
    <w:rsid w:val="00E742CC"/>
    <w:rsid w:val="00E752CA"/>
    <w:rsid w:val="00E75749"/>
    <w:rsid w:val="00E77C8B"/>
    <w:rsid w:val="00E77D44"/>
    <w:rsid w:val="00E77DA7"/>
    <w:rsid w:val="00E802ED"/>
    <w:rsid w:val="00E83B4B"/>
    <w:rsid w:val="00E84660"/>
    <w:rsid w:val="00E8494A"/>
    <w:rsid w:val="00E86908"/>
    <w:rsid w:val="00E8738D"/>
    <w:rsid w:val="00E87641"/>
    <w:rsid w:val="00E87DDC"/>
    <w:rsid w:val="00E912AB"/>
    <w:rsid w:val="00E9223E"/>
    <w:rsid w:val="00E92D89"/>
    <w:rsid w:val="00E93461"/>
    <w:rsid w:val="00E9371E"/>
    <w:rsid w:val="00E94CA3"/>
    <w:rsid w:val="00E9592B"/>
    <w:rsid w:val="00E963F6"/>
    <w:rsid w:val="00E9727D"/>
    <w:rsid w:val="00E9736F"/>
    <w:rsid w:val="00EA06E6"/>
    <w:rsid w:val="00EA1A99"/>
    <w:rsid w:val="00EA3717"/>
    <w:rsid w:val="00EA3BF1"/>
    <w:rsid w:val="00EA49E0"/>
    <w:rsid w:val="00EA53A0"/>
    <w:rsid w:val="00EA578F"/>
    <w:rsid w:val="00EA7319"/>
    <w:rsid w:val="00EA766E"/>
    <w:rsid w:val="00EA7AC9"/>
    <w:rsid w:val="00EB0727"/>
    <w:rsid w:val="00EB0A58"/>
    <w:rsid w:val="00EB2770"/>
    <w:rsid w:val="00EB2F38"/>
    <w:rsid w:val="00EB3B72"/>
    <w:rsid w:val="00EB3CEC"/>
    <w:rsid w:val="00EB3F74"/>
    <w:rsid w:val="00EB5037"/>
    <w:rsid w:val="00EB55D4"/>
    <w:rsid w:val="00EB6EA6"/>
    <w:rsid w:val="00EC0530"/>
    <w:rsid w:val="00EC2646"/>
    <w:rsid w:val="00EC283C"/>
    <w:rsid w:val="00EC2F23"/>
    <w:rsid w:val="00EC36CB"/>
    <w:rsid w:val="00EC3763"/>
    <w:rsid w:val="00EC38DC"/>
    <w:rsid w:val="00EC47BC"/>
    <w:rsid w:val="00EC5414"/>
    <w:rsid w:val="00EC57FD"/>
    <w:rsid w:val="00EC6489"/>
    <w:rsid w:val="00EC7E36"/>
    <w:rsid w:val="00ED04BF"/>
    <w:rsid w:val="00ED1827"/>
    <w:rsid w:val="00ED4A36"/>
    <w:rsid w:val="00EE1EB0"/>
    <w:rsid w:val="00EE2A50"/>
    <w:rsid w:val="00EE3412"/>
    <w:rsid w:val="00EE3D95"/>
    <w:rsid w:val="00EE5763"/>
    <w:rsid w:val="00EE690F"/>
    <w:rsid w:val="00EE6EC8"/>
    <w:rsid w:val="00EE76C7"/>
    <w:rsid w:val="00EF07D1"/>
    <w:rsid w:val="00EF1DB7"/>
    <w:rsid w:val="00EF1E1E"/>
    <w:rsid w:val="00EF343D"/>
    <w:rsid w:val="00EF3BDD"/>
    <w:rsid w:val="00EF50B1"/>
    <w:rsid w:val="00EF674C"/>
    <w:rsid w:val="00EF7CF6"/>
    <w:rsid w:val="00F00F9E"/>
    <w:rsid w:val="00F01D45"/>
    <w:rsid w:val="00F01D6C"/>
    <w:rsid w:val="00F0282A"/>
    <w:rsid w:val="00F02FB8"/>
    <w:rsid w:val="00F046B4"/>
    <w:rsid w:val="00F069BC"/>
    <w:rsid w:val="00F07008"/>
    <w:rsid w:val="00F07709"/>
    <w:rsid w:val="00F10048"/>
    <w:rsid w:val="00F10E76"/>
    <w:rsid w:val="00F12799"/>
    <w:rsid w:val="00F13046"/>
    <w:rsid w:val="00F13947"/>
    <w:rsid w:val="00F141E3"/>
    <w:rsid w:val="00F14A52"/>
    <w:rsid w:val="00F154B9"/>
    <w:rsid w:val="00F158F5"/>
    <w:rsid w:val="00F15CDE"/>
    <w:rsid w:val="00F17149"/>
    <w:rsid w:val="00F17EE6"/>
    <w:rsid w:val="00F20C02"/>
    <w:rsid w:val="00F217F9"/>
    <w:rsid w:val="00F21DD1"/>
    <w:rsid w:val="00F228C0"/>
    <w:rsid w:val="00F22E3C"/>
    <w:rsid w:val="00F23D98"/>
    <w:rsid w:val="00F240AD"/>
    <w:rsid w:val="00F2717D"/>
    <w:rsid w:val="00F3043C"/>
    <w:rsid w:val="00F30E2C"/>
    <w:rsid w:val="00F31CCD"/>
    <w:rsid w:val="00F31CD7"/>
    <w:rsid w:val="00F320D0"/>
    <w:rsid w:val="00F32270"/>
    <w:rsid w:val="00F32A46"/>
    <w:rsid w:val="00F32AA5"/>
    <w:rsid w:val="00F32CDE"/>
    <w:rsid w:val="00F335D7"/>
    <w:rsid w:val="00F339E0"/>
    <w:rsid w:val="00F33A43"/>
    <w:rsid w:val="00F358BF"/>
    <w:rsid w:val="00F35FAC"/>
    <w:rsid w:val="00F37CFB"/>
    <w:rsid w:val="00F40126"/>
    <w:rsid w:val="00F430BD"/>
    <w:rsid w:val="00F432B3"/>
    <w:rsid w:val="00F43721"/>
    <w:rsid w:val="00F445E1"/>
    <w:rsid w:val="00F449D7"/>
    <w:rsid w:val="00F454EC"/>
    <w:rsid w:val="00F45CAC"/>
    <w:rsid w:val="00F50E3F"/>
    <w:rsid w:val="00F51CE8"/>
    <w:rsid w:val="00F52C97"/>
    <w:rsid w:val="00F53056"/>
    <w:rsid w:val="00F53545"/>
    <w:rsid w:val="00F57CF7"/>
    <w:rsid w:val="00F61070"/>
    <w:rsid w:val="00F6194C"/>
    <w:rsid w:val="00F620AF"/>
    <w:rsid w:val="00F6220B"/>
    <w:rsid w:val="00F62CDD"/>
    <w:rsid w:val="00F6327F"/>
    <w:rsid w:val="00F634F0"/>
    <w:rsid w:val="00F641B8"/>
    <w:rsid w:val="00F64E28"/>
    <w:rsid w:val="00F66B96"/>
    <w:rsid w:val="00F67209"/>
    <w:rsid w:val="00F67474"/>
    <w:rsid w:val="00F67B3D"/>
    <w:rsid w:val="00F70460"/>
    <w:rsid w:val="00F709EE"/>
    <w:rsid w:val="00F72E50"/>
    <w:rsid w:val="00F736FC"/>
    <w:rsid w:val="00F75D6D"/>
    <w:rsid w:val="00F75E53"/>
    <w:rsid w:val="00F76D9D"/>
    <w:rsid w:val="00F7770A"/>
    <w:rsid w:val="00F77AB2"/>
    <w:rsid w:val="00F82C78"/>
    <w:rsid w:val="00F8331A"/>
    <w:rsid w:val="00F83F4B"/>
    <w:rsid w:val="00F83FC4"/>
    <w:rsid w:val="00F8496D"/>
    <w:rsid w:val="00F851DD"/>
    <w:rsid w:val="00F8563A"/>
    <w:rsid w:val="00F86054"/>
    <w:rsid w:val="00F902E7"/>
    <w:rsid w:val="00F90861"/>
    <w:rsid w:val="00F90BC7"/>
    <w:rsid w:val="00F920A8"/>
    <w:rsid w:val="00F933A7"/>
    <w:rsid w:val="00F93A34"/>
    <w:rsid w:val="00F9406D"/>
    <w:rsid w:val="00F941F5"/>
    <w:rsid w:val="00F9469C"/>
    <w:rsid w:val="00F94D2F"/>
    <w:rsid w:val="00F95500"/>
    <w:rsid w:val="00F960FB"/>
    <w:rsid w:val="00FA10B6"/>
    <w:rsid w:val="00FA1E20"/>
    <w:rsid w:val="00FA6628"/>
    <w:rsid w:val="00FA7108"/>
    <w:rsid w:val="00FA76FE"/>
    <w:rsid w:val="00FB05B1"/>
    <w:rsid w:val="00FB186C"/>
    <w:rsid w:val="00FB2823"/>
    <w:rsid w:val="00FB37AA"/>
    <w:rsid w:val="00FB3E4B"/>
    <w:rsid w:val="00FC1570"/>
    <w:rsid w:val="00FC1AC9"/>
    <w:rsid w:val="00FC2B53"/>
    <w:rsid w:val="00FC3028"/>
    <w:rsid w:val="00FC412E"/>
    <w:rsid w:val="00FC474F"/>
    <w:rsid w:val="00FC4FC7"/>
    <w:rsid w:val="00FC747C"/>
    <w:rsid w:val="00FC761D"/>
    <w:rsid w:val="00FD27DC"/>
    <w:rsid w:val="00FD2BDD"/>
    <w:rsid w:val="00FD4C65"/>
    <w:rsid w:val="00FD5A7E"/>
    <w:rsid w:val="00FD6786"/>
    <w:rsid w:val="00FD7922"/>
    <w:rsid w:val="00FD7C74"/>
    <w:rsid w:val="00FE02E7"/>
    <w:rsid w:val="00FE11D8"/>
    <w:rsid w:val="00FE1724"/>
    <w:rsid w:val="00FE1B4F"/>
    <w:rsid w:val="00FE1E23"/>
    <w:rsid w:val="00FE20FC"/>
    <w:rsid w:val="00FE2DEF"/>
    <w:rsid w:val="00FE34AA"/>
    <w:rsid w:val="00FE3C2A"/>
    <w:rsid w:val="00FE4EA0"/>
    <w:rsid w:val="00FE564F"/>
    <w:rsid w:val="00FE6276"/>
    <w:rsid w:val="00FE75A5"/>
    <w:rsid w:val="00FF01A8"/>
    <w:rsid w:val="00FF1583"/>
    <w:rsid w:val="00FF2A55"/>
    <w:rsid w:val="00FF55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15:chartTrackingRefBased/>
  <w15:docId w15:val="{6A73AA54-A206-4A72-A34E-A687B37F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204"/>
    <w:rPr>
      <w:sz w:val="24"/>
      <w:szCs w:val="24"/>
      <w:lang w:val="es-ES" w:eastAsia="es-ES"/>
    </w:rPr>
  </w:style>
  <w:style w:type="paragraph" w:styleId="Ttulo1">
    <w:name w:val="heading 1"/>
    <w:basedOn w:val="Normal"/>
    <w:next w:val="Normal"/>
    <w:link w:val="Ttulo1Car"/>
    <w:uiPriority w:val="9"/>
    <w:qFormat/>
    <w:rsid w:val="003A0D9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BB6B28"/>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AB0C80"/>
    <w:pPr>
      <w:spacing w:before="120" w:after="120"/>
      <w:outlineLvl w:val="2"/>
    </w:pPr>
    <w:rPr>
      <w:rFonts w:ascii="Arial" w:hAnsi="Arial"/>
      <w:bCs/>
      <w:i/>
      <w:szCs w:val="27"/>
      <w:lang w:val="es-MX" w:eastAsia="es-MX"/>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link w:val="TextodegloboCar"/>
    <w:uiPriority w:val="99"/>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aliases w:val="Header Char Car,Header Char Car Car Car Car Car,Header Char Car Car Car Car"/>
    <w:basedOn w:val="Normal"/>
    <w:link w:val="EncabezadoCar"/>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rsid w:val="00187CA8"/>
    <w:rPr>
      <w:rFonts w:ascii="Courier New" w:hAnsi="Courier New"/>
      <w:sz w:val="20"/>
    </w:rPr>
  </w:style>
  <w:style w:type="character" w:customStyle="1" w:styleId="TextosinformatoCar">
    <w:name w:val="Texto sin formato Car"/>
    <w:link w:val="Textosinformato"/>
    <w:rsid w:val="00187CA8"/>
    <w:rPr>
      <w:rFonts w:ascii="Courier New" w:hAnsi="Courier New"/>
      <w:szCs w:val="24"/>
      <w:lang w:val="es-ES" w:eastAsia="es-ES"/>
    </w:rPr>
  </w:style>
  <w:style w:type="paragraph" w:customStyle="1" w:styleId="Cuadrculamedia21">
    <w:name w:val="Cuadrícula media 21"/>
    <w:link w:val="Cuadrculamedia2Car"/>
    <w:uiPriority w:val="1"/>
    <w:qFormat/>
    <w:rsid w:val="00187CA8"/>
    <w:rPr>
      <w:rFonts w:ascii="Calibri" w:hAnsi="Calibri"/>
      <w:sz w:val="22"/>
      <w:szCs w:val="22"/>
      <w:lang w:val="es-ES" w:eastAsia="en-US"/>
    </w:rPr>
  </w:style>
  <w:style w:type="character" w:customStyle="1" w:styleId="Cuadrculamedia2Car">
    <w:name w:val="Cuadrícula media 2 Car"/>
    <w:link w:val="Cuadrculamedia21"/>
    <w:uiPriority w:val="1"/>
    <w:rsid w:val="00187CA8"/>
    <w:rPr>
      <w:rFonts w:ascii="Calibri" w:hAnsi="Calibri"/>
      <w:sz w:val="22"/>
      <w:szCs w:val="22"/>
      <w:lang w:val="es-ES" w:eastAsia="en-US" w:bidi="ar-SA"/>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Ref. de nota al pie 2"/>
    <w:uiPriority w:val="99"/>
    <w:rsid w:val="00945E15"/>
    <w:rPr>
      <w:vertAlign w:val="superscript"/>
    </w:rPr>
  </w:style>
  <w:style w:type="paragraph" w:customStyle="1" w:styleId="Listavistosa-nfasis11">
    <w:name w:val="Lista vistosa - Énfasis 11"/>
    <w:basedOn w:val="Normal"/>
    <w:uiPriority w:val="34"/>
    <w:qFormat/>
    <w:rsid w:val="003F43C0"/>
    <w:pPr>
      <w:ind w:left="708"/>
    </w:pPr>
  </w:style>
  <w:style w:type="paragraph" w:customStyle="1" w:styleId="Default">
    <w:name w:val="Default"/>
    <w:link w:val="DefaultCar"/>
    <w:rsid w:val="004F58E9"/>
    <w:pPr>
      <w:autoSpaceDE w:val="0"/>
      <w:autoSpaceDN w:val="0"/>
      <w:adjustRightInd w:val="0"/>
    </w:pPr>
    <w:rPr>
      <w:rFonts w:ascii="Arial" w:hAnsi="Arial" w:cs="Arial"/>
      <w:color w:val="000000"/>
      <w:sz w:val="24"/>
      <w:szCs w:val="24"/>
    </w:rPr>
  </w:style>
  <w:style w:type="character" w:customStyle="1" w:styleId="apple-converted-space">
    <w:name w:val="apple-converted-space"/>
    <w:rsid w:val="007033C3"/>
  </w:style>
  <w:style w:type="character" w:styleId="Hipervnculo">
    <w:name w:val="Hyperlink"/>
    <w:uiPriority w:val="99"/>
    <w:unhideWhenUsed/>
    <w:rsid w:val="001A0E88"/>
    <w:rPr>
      <w:color w:val="0000FF"/>
      <w:u w:val="singl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AF160A"/>
    <w:rPr>
      <w:rFonts w:ascii="Arial" w:hAnsi="Arial" w:cs="Arial"/>
      <w:sz w:val="24"/>
      <w:szCs w:val="24"/>
      <w:lang w:val="es-ES_tradnl" w:eastAsia="es-ES_tradnl"/>
    </w:rPr>
  </w:style>
  <w:style w:type="paragraph" w:styleId="Prrafodelista">
    <w:name w:val="List Paragraph"/>
    <w:basedOn w:val="Normal"/>
    <w:uiPriority w:val="34"/>
    <w:qFormat/>
    <w:rsid w:val="00A904CD"/>
    <w:pPr>
      <w:spacing w:after="200" w:line="276" w:lineRule="auto"/>
      <w:ind w:left="720"/>
      <w:contextualSpacing/>
    </w:pPr>
    <w:rPr>
      <w:rFonts w:ascii="Calibri" w:eastAsia="Calibri" w:hAnsi="Calibri"/>
      <w:sz w:val="22"/>
      <w:szCs w:val="22"/>
      <w:lang w:val="es-MX" w:eastAsia="en-US"/>
    </w:rPr>
  </w:style>
  <w:style w:type="paragraph" w:customStyle="1" w:styleId="Estilo">
    <w:name w:val="Estilo"/>
    <w:basedOn w:val="Sinespaciado"/>
    <w:link w:val="EstiloCar"/>
    <w:qFormat/>
    <w:rsid w:val="00A904CD"/>
    <w:pPr>
      <w:jc w:val="both"/>
    </w:pPr>
    <w:rPr>
      <w:rFonts w:ascii="Arial" w:eastAsia="Calibri" w:hAnsi="Arial"/>
      <w:szCs w:val="22"/>
      <w:lang w:val="es-MX" w:eastAsia="en-US"/>
    </w:rPr>
  </w:style>
  <w:style w:type="character" w:customStyle="1" w:styleId="EstiloCar">
    <w:name w:val="Estilo Car"/>
    <w:link w:val="Estilo"/>
    <w:rsid w:val="00A904CD"/>
    <w:rPr>
      <w:rFonts w:ascii="Arial" w:eastAsia="Calibri" w:hAnsi="Arial" w:cs="Times New Roman"/>
      <w:sz w:val="24"/>
      <w:szCs w:val="22"/>
      <w:lang w:eastAsia="en-US"/>
    </w:rPr>
  </w:style>
  <w:style w:type="paragraph" w:styleId="Sinespaciado">
    <w:name w:val="No Spacing"/>
    <w:uiPriority w:val="1"/>
    <w:qFormat/>
    <w:rsid w:val="00A904CD"/>
    <w:rPr>
      <w:sz w:val="24"/>
      <w:szCs w:val="24"/>
      <w:lang w:val="es-ES" w:eastAsia="es-ES"/>
    </w:rPr>
  </w:style>
  <w:style w:type="character" w:customStyle="1" w:styleId="DefaultCar">
    <w:name w:val="Default Car"/>
    <w:link w:val="Default"/>
    <w:rsid w:val="00C41F38"/>
    <w:rPr>
      <w:rFonts w:ascii="Arial" w:hAnsi="Arial" w:cs="Arial"/>
      <w:color w:val="000000"/>
      <w:sz w:val="24"/>
      <w:szCs w:val="24"/>
    </w:rPr>
  </w:style>
  <w:style w:type="character" w:styleId="Refdecomentario">
    <w:name w:val="annotation reference"/>
    <w:uiPriority w:val="99"/>
    <w:rsid w:val="00746304"/>
    <w:rPr>
      <w:sz w:val="16"/>
      <w:szCs w:val="16"/>
    </w:rPr>
  </w:style>
  <w:style w:type="paragraph" w:styleId="Textocomentario">
    <w:name w:val="annotation text"/>
    <w:basedOn w:val="Normal"/>
    <w:link w:val="TextocomentarioCar"/>
    <w:uiPriority w:val="99"/>
    <w:rsid w:val="00746304"/>
    <w:rPr>
      <w:sz w:val="20"/>
      <w:szCs w:val="20"/>
    </w:rPr>
  </w:style>
  <w:style w:type="character" w:customStyle="1" w:styleId="TextocomentarioCar">
    <w:name w:val="Texto comentario Car"/>
    <w:link w:val="Textocomentario"/>
    <w:uiPriority w:val="99"/>
    <w:rsid w:val="00746304"/>
    <w:rPr>
      <w:lang w:val="es-ES" w:eastAsia="es-ES"/>
    </w:rPr>
  </w:style>
  <w:style w:type="paragraph" w:styleId="Asuntodelcomentario">
    <w:name w:val="annotation subject"/>
    <w:basedOn w:val="Textocomentario"/>
    <w:next w:val="Textocomentario"/>
    <w:link w:val="AsuntodelcomentarioCar"/>
    <w:uiPriority w:val="99"/>
    <w:rsid w:val="00746304"/>
    <w:rPr>
      <w:b/>
      <w:bCs/>
    </w:rPr>
  </w:style>
  <w:style w:type="character" w:customStyle="1" w:styleId="AsuntodelcomentarioCar">
    <w:name w:val="Asunto del comentario Car"/>
    <w:link w:val="Asuntodelcomentario"/>
    <w:uiPriority w:val="99"/>
    <w:rsid w:val="00746304"/>
    <w:rPr>
      <w:b/>
      <w:bCs/>
      <w:lang w:val="es-ES" w:eastAsia="es-ES"/>
    </w:rPr>
  </w:style>
  <w:style w:type="character" w:customStyle="1" w:styleId="Ttulo1Car">
    <w:name w:val="Título 1 Car"/>
    <w:link w:val="Ttulo1"/>
    <w:uiPriority w:val="9"/>
    <w:rsid w:val="003A0D96"/>
    <w:rPr>
      <w:rFonts w:ascii="Cambria" w:eastAsia="Times New Roman" w:hAnsi="Cambria" w:cs="Times New Roman"/>
      <w:b/>
      <w:bCs/>
      <w:kern w:val="32"/>
      <w:sz w:val="32"/>
      <w:szCs w:val="32"/>
      <w:lang w:val="es-ES" w:eastAsia="es-ES"/>
    </w:rPr>
  </w:style>
  <w:style w:type="character" w:customStyle="1" w:styleId="Ttulo2Car">
    <w:name w:val="Título 2 Car"/>
    <w:link w:val="Ttulo2"/>
    <w:uiPriority w:val="9"/>
    <w:rsid w:val="00BB6B28"/>
    <w:rPr>
      <w:rFonts w:ascii="Cambria" w:eastAsia="Times New Roman" w:hAnsi="Cambria" w:cs="Times New Roman"/>
      <w:b/>
      <w:bCs/>
      <w:i/>
      <w:iCs/>
      <w:sz w:val="28"/>
      <w:szCs w:val="28"/>
      <w:lang w:val="es-ES" w:eastAsia="es-ES"/>
    </w:rPr>
  </w:style>
  <w:style w:type="character" w:customStyle="1" w:styleId="Ttulo3Car">
    <w:name w:val="Título 3 Car"/>
    <w:link w:val="Ttulo3"/>
    <w:uiPriority w:val="9"/>
    <w:rsid w:val="00AB0C80"/>
    <w:rPr>
      <w:rFonts w:ascii="Arial" w:hAnsi="Arial"/>
      <w:bCs/>
      <w:i/>
      <w:sz w:val="24"/>
      <w:szCs w:val="27"/>
    </w:rPr>
  </w:style>
  <w:style w:type="character" w:customStyle="1" w:styleId="EncabezadoCar">
    <w:name w:val="Encabezado Car"/>
    <w:aliases w:val="Header Char Car Car,Header Char Car Car Car Car Car Car,Header Char Car Car Car Car Car1"/>
    <w:link w:val="Encabezado"/>
    <w:uiPriority w:val="99"/>
    <w:rsid w:val="00AB0C80"/>
    <w:rPr>
      <w:sz w:val="24"/>
      <w:szCs w:val="24"/>
      <w:lang w:val="es-ES" w:eastAsia="es-ES"/>
    </w:rPr>
  </w:style>
  <w:style w:type="paragraph" w:customStyle="1" w:styleId="Ttulo11">
    <w:name w:val="Título 11"/>
    <w:basedOn w:val="Normal"/>
    <w:next w:val="Normal"/>
    <w:uiPriority w:val="9"/>
    <w:qFormat/>
    <w:rsid w:val="00AB0C80"/>
    <w:pPr>
      <w:keepNext/>
      <w:keepLines/>
      <w:spacing w:before="120" w:after="120"/>
      <w:outlineLvl w:val="0"/>
    </w:pPr>
    <w:rPr>
      <w:rFonts w:ascii="Arial" w:hAnsi="Arial"/>
      <w:b/>
      <w:szCs w:val="32"/>
      <w:lang w:val="es-MX" w:eastAsia="en-US"/>
    </w:rPr>
  </w:style>
  <w:style w:type="paragraph" w:customStyle="1" w:styleId="Ttulo21">
    <w:name w:val="Título 21"/>
    <w:basedOn w:val="Normal"/>
    <w:next w:val="Normal"/>
    <w:uiPriority w:val="9"/>
    <w:unhideWhenUsed/>
    <w:qFormat/>
    <w:rsid w:val="00AB0C80"/>
    <w:pPr>
      <w:keepNext/>
      <w:keepLines/>
      <w:spacing w:before="120" w:after="120"/>
      <w:outlineLvl w:val="1"/>
    </w:pPr>
    <w:rPr>
      <w:rFonts w:ascii="Arial" w:hAnsi="Arial"/>
      <w:i/>
      <w:szCs w:val="26"/>
      <w:lang w:val="es-MX" w:eastAsia="en-US"/>
    </w:rPr>
  </w:style>
  <w:style w:type="numbering" w:customStyle="1" w:styleId="Sinlista1">
    <w:name w:val="Sin lista1"/>
    <w:next w:val="Sinlista"/>
    <w:uiPriority w:val="99"/>
    <w:semiHidden/>
    <w:unhideWhenUsed/>
    <w:rsid w:val="00AB0C80"/>
  </w:style>
  <w:style w:type="character" w:customStyle="1" w:styleId="TextodegloboCar">
    <w:name w:val="Texto de globo Car"/>
    <w:link w:val="Textodeglobo"/>
    <w:uiPriority w:val="99"/>
    <w:semiHidden/>
    <w:rsid w:val="00AB0C80"/>
    <w:rPr>
      <w:rFonts w:ascii="Tahoma" w:hAnsi="Tahoma" w:cs="Tahoma"/>
      <w:sz w:val="16"/>
      <w:szCs w:val="16"/>
      <w:lang w:val="es-ES" w:eastAsia="es-ES"/>
    </w:rPr>
  </w:style>
  <w:style w:type="paragraph" w:customStyle="1" w:styleId="paragraph">
    <w:name w:val="paragraph"/>
    <w:basedOn w:val="Normal"/>
    <w:rsid w:val="00AB0C80"/>
    <w:pPr>
      <w:spacing w:before="100" w:beforeAutospacing="1" w:after="100" w:afterAutospacing="1"/>
    </w:pPr>
    <w:rPr>
      <w:lang w:val="es-MX" w:eastAsia="es-MX"/>
    </w:rPr>
  </w:style>
  <w:style w:type="character" w:customStyle="1" w:styleId="normaltextrun">
    <w:name w:val="normaltextrun"/>
    <w:rsid w:val="00AB0C80"/>
  </w:style>
  <w:style w:type="character" w:customStyle="1" w:styleId="eop">
    <w:name w:val="eop"/>
    <w:rsid w:val="00AB0C80"/>
  </w:style>
  <w:style w:type="character" w:customStyle="1" w:styleId="spellingerror">
    <w:name w:val="spellingerror"/>
    <w:rsid w:val="00AB0C80"/>
  </w:style>
  <w:style w:type="character" w:customStyle="1" w:styleId="findhit">
    <w:name w:val="findhit"/>
    <w:rsid w:val="00AB0C80"/>
  </w:style>
  <w:style w:type="character" w:styleId="Hipervnculovisitado">
    <w:name w:val="FollowedHyperlink"/>
    <w:uiPriority w:val="99"/>
    <w:semiHidden/>
    <w:unhideWhenUsed/>
    <w:rsid w:val="00AB0C80"/>
    <w:rPr>
      <w:color w:val="954F72"/>
      <w:u w:val="single"/>
    </w:rPr>
  </w:style>
  <w:style w:type="paragraph" w:customStyle="1" w:styleId="msonormal0">
    <w:name w:val="msonormal"/>
    <w:basedOn w:val="Normal"/>
    <w:rsid w:val="00AB0C80"/>
    <w:pPr>
      <w:spacing w:before="100" w:beforeAutospacing="1" w:after="100" w:afterAutospacing="1"/>
    </w:pPr>
    <w:rPr>
      <w:lang w:val="es-MX" w:eastAsia="es-MX"/>
    </w:rPr>
  </w:style>
  <w:style w:type="paragraph" w:customStyle="1" w:styleId="xl65">
    <w:name w:val="xl65"/>
    <w:basedOn w:val="Normal"/>
    <w:rsid w:val="00AB0C80"/>
    <w:pPr>
      <w:spacing w:before="100" w:beforeAutospacing="1" w:after="100" w:afterAutospacing="1"/>
    </w:pPr>
    <w:rPr>
      <w:rFonts w:ascii="Barlow" w:hAnsi="Barlow"/>
      <w:lang w:val="es-MX" w:eastAsia="es-MX"/>
    </w:rPr>
  </w:style>
  <w:style w:type="paragraph" w:customStyle="1" w:styleId="xl66">
    <w:name w:val="xl66"/>
    <w:basedOn w:val="Normal"/>
    <w:rsid w:val="00AB0C80"/>
    <w:pPr>
      <w:pBdr>
        <w:top w:val="single" w:sz="4" w:space="0" w:color="BFBFBF"/>
        <w:left w:val="single" w:sz="4" w:space="0" w:color="BFBFBF"/>
        <w:right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67">
    <w:name w:val="xl67"/>
    <w:basedOn w:val="Normal"/>
    <w:rsid w:val="00AB0C80"/>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ascii="Barlow" w:hAnsi="Barlow"/>
      <w:lang w:val="es-MX" w:eastAsia="es-MX"/>
    </w:rPr>
  </w:style>
  <w:style w:type="paragraph" w:customStyle="1" w:styleId="xl68">
    <w:name w:val="xl68"/>
    <w:basedOn w:val="Normal"/>
    <w:rsid w:val="00AB0C80"/>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pPr>
    <w:rPr>
      <w:rFonts w:ascii="Barlow" w:hAnsi="Barlow"/>
      <w:b/>
      <w:bCs/>
      <w:lang w:val="es-MX" w:eastAsia="es-MX"/>
    </w:rPr>
  </w:style>
  <w:style w:type="paragraph" w:customStyle="1" w:styleId="xl69">
    <w:name w:val="xl69"/>
    <w:basedOn w:val="Normal"/>
    <w:rsid w:val="00AB0C80"/>
    <w:pPr>
      <w:spacing w:before="100" w:beforeAutospacing="1" w:after="100" w:afterAutospacing="1"/>
      <w:jc w:val="center"/>
    </w:pPr>
    <w:rPr>
      <w:rFonts w:ascii="Barlow" w:hAnsi="Barlow"/>
      <w:lang w:val="es-MX" w:eastAsia="es-MX"/>
    </w:rPr>
  </w:style>
  <w:style w:type="paragraph" w:customStyle="1" w:styleId="xl70">
    <w:name w:val="xl70"/>
    <w:basedOn w:val="Normal"/>
    <w:rsid w:val="00AB0C80"/>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Barlow" w:hAnsi="Barlow"/>
      <w:lang w:val="es-MX" w:eastAsia="es-MX"/>
    </w:rPr>
  </w:style>
  <w:style w:type="paragraph" w:customStyle="1" w:styleId="xl71">
    <w:name w:val="xl71"/>
    <w:basedOn w:val="Normal"/>
    <w:rsid w:val="00AB0C80"/>
    <w:pPr>
      <w:spacing w:before="100" w:beforeAutospacing="1" w:after="100" w:afterAutospacing="1"/>
    </w:pPr>
    <w:rPr>
      <w:rFonts w:ascii="Barlow" w:hAnsi="Barlow"/>
      <w:lang w:val="es-MX" w:eastAsia="es-MX"/>
    </w:rPr>
  </w:style>
  <w:style w:type="paragraph" w:customStyle="1" w:styleId="xl72">
    <w:name w:val="xl72"/>
    <w:basedOn w:val="Normal"/>
    <w:rsid w:val="00AB0C80"/>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Barlow" w:hAnsi="Barlow"/>
      <w:lang w:val="es-MX" w:eastAsia="es-MX"/>
    </w:rPr>
  </w:style>
  <w:style w:type="paragraph" w:customStyle="1" w:styleId="xl73">
    <w:name w:val="xl73"/>
    <w:basedOn w:val="Normal"/>
    <w:rsid w:val="00AB0C80"/>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pPr>
    <w:rPr>
      <w:rFonts w:ascii="Barlow" w:hAnsi="Barlow"/>
      <w:lang w:val="es-MX" w:eastAsia="es-MX"/>
    </w:rPr>
  </w:style>
  <w:style w:type="paragraph" w:customStyle="1" w:styleId="xl74">
    <w:name w:val="xl74"/>
    <w:basedOn w:val="Normal"/>
    <w:rsid w:val="00AB0C80"/>
    <w:pPr>
      <w:pBdr>
        <w:top w:val="single" w:sz="4" w:space="0" w:color="BFBFBF"/>
        <w:left w:val="single" w:sz="4" w:space="0" w:color="BFBFBF"/>
        <w:bottom w:val="single" w:sz="4" w:space="0" w:color="BFBFBF"/>
        <w:right w:val="single" w:sz="4" w:space="0" w:color="BFBFBF"/>
      </w:pBdr>
      <w:shd w:val="clear" w:color="000000" w:fill="auto"/>
      <w:spacing w:before="100" w:beforeAutospacing="1" w:after="100" w:afterAutospacing="1"/>
    </w:pPr>
    <w:rPr>
      <w:rFonts w:ascii="Barlow" w:hAnsi="Barlow"/>
      <w:lang w:val="es-MX" w:eastAsia="es-MX"/>
    </w:rPr>
  </w:style>
  <w:style w:type="paragraph" w:customStyle="1" w:styleId="xl75">
    <w:name w:val="xl75"/>
    <w:basedOn w:val="Normal"/>
    <w:rsid w:val="00AB0C80"/>
    <w:pPr>
      <w:pBdr>
        <w:top w:val="single" w:sz="4" w:space="0" w:color="BFBFBF"/>
        <w:left w:val="single" w:sz="4" w:space="0" w:color="BFBFBF"/>
        <w:bottom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76">
    <w:name w:val="xl76"/>
    <w:basedOn w:val="Normal"/>
    <w:rsid w:val="00AB0C80"/>
    <w:pPr>
      <w:pBdr>
        <w:top w:val="single" w:sz="4" w:space="0" w:color="BFBFBF"/>
        <w:bottom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77">
    <w:name w:val="xl77"/>
    <w:basedOn w:val="Normal"/>
    <w:rsid w:val="00AB0C80"/>
    <w:pPr>
      <w:pBdr>
        <w:top w:val="single" w:sz="4" w:space="0" w:color="BFBFBF"/>
        <w:bottom w:val="single" w:sz="4" w:space="0" w:color="BFBFBF"/>
        <w:right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78">
    <w:name w:val="xl78"/>
    <w:basedOn w:val="Normal"/>
    <w:rsid w:val="00AB0C80"/>
    <w:pPr>
      <w:pBdr>
        <w:left w:val="single" w:sz="4" w:space="0" w:color="BFBFBF"/>
        <w:bottom w:val="single" w:sz="4" w:space="0" w:color="BFBFBF"/>
        <w:right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79">
    <w:name w:val="xl79"/>
    <w:basedOn w:val="Normal"/>
    <w:rsid w:val="00AB0C80"/>
    <w:pPr>
      <w:spacing w:before="100" w:beforeAutospacing="1" w:after="100" w:afterAutospacing="1"/>
      <w:ind w:firstLineChars="200" w:firstLine="200"/>
      <w:textAlignment w:val="top"/>
    </w:pPr>
    <w:rPr>
      <w:rFonts w:ascii="Barlow" w:hAnsi="Barlow"/>
      <w:b/>
      <w:bCs/>
      <w:sz w:val="18"/>
      <w:szCs w:val="18"/>
      <w:lang w:val="es-MX" w:eastAsia="es-MX"/>
    </w:rPr>
  </w:style>
  <w:style w:type="paragraph" w:customStyle="1" w:styleId="xl80">
    <w:name w:val="xl80"/>
    <w:basedOn w:val="Normal"/>
    <w:rsid w:val="00AB0C80"/>
    <w:pPr>
      <w:spacing w:before="100" w:beforeAutospacing="1" w:after="100" w:afterAutospacing="1"/>
      <w:ind w:firstLineChars="400" w:firstLine="400"/>
      <w:textAlignment w:val="top"/>
    </w:pPr>
    <w:rPr>
      <w:rFonts w:ascii="Barlow" w:hAnsi="Barlow"/>
      <w:b/>
      <w:bCs/>
      <w:sz w:val="18"/>
      <w:szCs w:val="18"/>
      <w:lang w:val="es-MX" w:eastAsia="es-MX"/>
    </w:rPr>
  </w:style>
  <w:style w:type="paragraph" w:customStyle="1" w:styleId="xl81">
    <w:name w:val="xl81"/>
    <w:basedOn w:val="Normal"/>
    <w:rsid w:val="00AB0C80"/>
    <w:pPr>
      <w:spacing w:before="100" w:beforeAutospacing="1" w:after="100" w:afterAutospacing="1"/>
      <w:ind w:firstLineChars="400" w:firstLine="400"/>
      <w:textAlignment w:val="top"/>
    </w:pPr>
    <w:rPr>
      <w:rFonts w:ascii="Barlow" w:hAnsi="Barlow"/>
      <w:b/>
      <w:bCs/>
      <w:sz w:val="18"/>
      <w:szCs w:val="18"/>
      <w:lang w:val="es-MX" w:eastAsia="es-MX"/>
    </w:rPr>
  </w:style>
  <w:style w:type="paragraph" w:customStyle="1" w:styleId="xl82">
    <w:name w:val="xl82"/>
    <w:basedOn w:val="Normal"/>
    <w:rsid w:val="00AB0C80"/>
    <w:pPr>
      <w:spacing w:before="100" w:beforeAutospacing="1" w:after="100" w:afterAutospacing="1"/>
      <w:jc w:val="right"/>
      <w:textAlignment w:val="top"/>
    </w:pPr>
    <w:rPr>
      <w:rFonts w:ascii="Barlow" w:hAnsi="Barlow"/>
      <w:sz w:val="18"/>
      <w:szCs w:val="18"/>
      <w:lang w:val="es-MX" w:eastAsia="es-MX"/>
    </w:rPr>
  </w:style>
  <w:style w:type="paragraph" w:customStyle="1" w:styleId="xl83">
    <w:name w:val="xl83"/>
    <w:basedOn w:val="Normal"/>
    <w:rsid w:val="00AB0C80"/>
    <w:pPr>
      <w:spacing w:before="100" w:beforeAutospacing="1" w:after="100" w:afterAutospacing="1"/>
      <w:jc w:val="right"/>
      <w:textAlignment w:val="top"/>
    </w:pPr>
    <w:rPr>
      <w:rFonts w:ascii="Barlow" w:hAnsi="Barlow"/>
      <w:sz w:val="18"/>
      <w:szCs w:val="18"/>
      <w:lang w:val="es-MX" w:eastAsia="es-MX"/>
    </w:rPr>
  </w:style>
  <w:style w:type="paragraph" w:customStyle="1" w:styleId="xl84">
    <w:name w:val="xl84"/>
    <w:basedOn w:val="Normal"/>
    <w:rsid w:val="00AB0C80"/>
    <w:pPr>
      <w:spacing w:before="100" w:beforeAutospacing="1" w:after="100" w:afterAutospacing="1"/>
      <w:textAlignment w:val="top"/>
    </w:pPr>
    <w:rPr>
      <w:rFonts w:ascii="Barlow" w:hAnsi="Barlow"/>
      <w:b/>
      <w:bCs/>
      <w:color w:val="FFFFFF"/>
      <w:sz w:val="18"/>
      <w:szCs w:val="18"/>
      <w:lang w:val="es-MX" w:eastAsia="es-MX"/>
    </w:rPr>
  </w:style>
  <w:style w:type="paragraph" w:customStyle="1" w:styleId="xl85">
    <w:name w:val="xl85"/>
    <w:basedOn w:val="Normal"/>
    <w:rsid w:val="00AB0C80"/>
    <w:pPr>
      <w:spacing w:before="100" w:beforeAutospacing="1" w:after="100" w:afterAutospacing="1"/>
      <w:textAlignment w:val="top"/>
    </w:pPr>
    <w:rPr>
      <w:rFonts w:ascii="Barlow" w:hAnsi="Barlow"/>
      <w:sz w:val="18"/>
      <w:szCs w:val="18"/>
      <w:lang w:val="es-MX" w:eastAsia="es-MX"/>
    </w:rPr>
  </w:style>
  <w:style w:type="paragraph" w:customStyle="1" w:styleId="xl86">
    <w:name w:val="xl86"/>
    <w:basedOn w:val="Normal"/>
    <w:rsid w:val="00AB0C80"/>
    <w:pPr>
      <w:spacing w:before="100" w:beforeAutospacing="1" w:after="100" w:afterAutospacing="1"/>
      <w:textAlignment w:val="top"/>
    </w:pPr>
    <w:rPr>
      <w:rFonts w:ascii="Barlow" w:hAnsi="Barlow"/>
      <w:sz w:val="18"/>
      <w:szCs w:val="18"/>
      <w:lang w:val="es-MX" w:eastAsia="es-MX"/>
    </w:rPr>
  </w:style>
  <w:style w:type="paragraph" w:customStyle="1" w:styleId="xl87">
    <w:name w:val="xl87"/>
    <w:basedOn w:val="Normal"/>
    <w:rsid w:val="00AB0C80"/>
    <w:pPr>
      <w:spacing w:before="100" w:beforeAutospacing="1" w:after="100" w:afterAutospacing="1"/>
      <w:textAlignment w:val="top"/>
    </w:pPr>
    <w:rPr>
      <w:rFonts w:ascii="Barlow" w:hAnsi="Barlow"/>
      <w:sz w:val="18"/>
      <w:szCs w:val="18"/>
      <w:lang w:val="es-MX" w:eastAsia="es-MX"/>
    </w:rPr>
  </w:style>
  <w:style w:type="paragraph" w:customStyle="1" w:styleId="xl88">
    <w:name w:val="xl88"/>
    <w:basedOn w:val="Normal"/>
    <w:rsid w:val="00AB0C80"/>
    <w:pPr>
      <w:spacing w:before="100" w:beforeAutospacing="1" w:after="100" w:afterAutospacing="1"/>
    </w:pPr>
    <w:rPr>
      <w:lang w:val="es-MX" w:eastAsia="es-MX"/>
    </w:rPr>
  </w:style>
  <w:style w:type="paragraph" w:customStyle="1" w:styleId="xl89">
    <w:name w:val="xl89"/>
    <w:basedOn w:val="Normal"/>
    <w:rsid w:val="00AB0C80"/>
    <w:pPr>
      <w:shd w:val="clear" w:color="000000" w:fill="FFFF00"/>
      <w:spacing w:before="100" w:beforeAutospacing="1" w:after="100" w:afterAutospacing="1"/>
      <w:textAlignment w:val="top"/>
    </w:pPr>
    <w:rPr>
      <w:rFonts w:ascii="Barlow" w:hAnsi="Barlow"/>
      <w:sz w:val="18"/>
      <w:szCs w:val="18"/>
      <w:lang w:val="es-MX" w:eastAsia="es-MX"/>
    </w:rPr>
  </w:style>
  <w:style w:type="paragraph" w:customStyle="1" w:styleId="font5">
    <w:name w:val="font5"/>
    <w:basedOn w:val="Normal"/>
    <w:rsid w:val="00AB0C80"/>
    <w:pPr>
      <w:spacing w:before="100" w:beforeAutospacing="1" w:after="100" w:afterAutospacing="1"/>
    </w:pPr>
    <w:rPr>
      <w:rFonts w:ascii="Calibri" w:hAnsi="Calibri"/>
      <w:color w:val="000000"/>
      <w:sz w:val="22"/>
      <w:szCs w:val="22"/>
      <w:lang w:val="en-US" w:eastAsia="en-US"/>
    </w:rPr>
  </w:style>
  <w:style w:type="paragraph" w:customStyle="1" w:styleId="font6">
    <w:name w:val="font6"/>
    <w:basedOn w:val="Normal"/>
    <w:rsid w:val="00AB0C80"/>
    <w:pPr>
      <w:spacing w:before="100" w:beforeAutospacing="1" w:after="100" w:afterAutospacing="1"/>
    </w:pPr>
    <w:rPr>
      <w:rFonts w:ascii="Tahoma" w:hAnsi="Tahoma" w:cs="Tahoma"/>
      <w:b/>
      <w:bCs/>
      <w:color w:val="000000"/>
      <w:sz w:val="18"/>
      <w:szCs w:val="18"/>
      <w:lang w:val="en-US" w:eastAsia="en-US"/>
    </w:rPr>
  </w:style>
  <w:style w:type="paragraph" w:customStyle="1" w:styleId="TtulodeTDC1">
    <w:name w:val="Título de TDC1"/>
    <w:basedOn w:val="Ttulo1"/>
    <w:next w:val="Normal"/>
    <w:uiPriority w:val="39"/>
    <w:unhideWhenUsed/>
    <w:qFormat/>
    <w:rsid w:val="00AB0C80"/>
    <w:pPr>
      <w:keepLines/>
      <w:spacing w:before="480" w:after="0" w:line="360" w:lineRule="auto"/>
    </w:pPr>
    <w:rPr>
      <w:rFonts w:ascii="Arial" w:hAnsi="Arial"/>
      <w:bCs w:val="0"/>
      <w:kern w:val="0"/>
      <w:sz w:val="24"/>
      <w:lang w:val="es-MX" w:eastAsia="en-US"/>
    </w:rPr>
  </w:style>
  <w:style w:type="paragraph" w:styleId="TDC1">
    <w:name w:val="toc 1"/>
    <w:basedOn w:val="Normal"/>
    <w:next w:val="Normal"/>
    <w:autoRedefine/>
    <w:uiPriority w:val="39"/>
    <w:unhideWhenUsed/>
    <w:rsid w:val="00AB0C80"/>
    <w:pPr>
      <w:spacing w:after="100" w:line="259" w:lineRule="auto"/>
    </w:pPr>
    <w:rPr>
      <w:rFonts w:ascii="Barlow" w:eastAsia="Calibri" w:hAnsi="Barlow"/>
      <w:sz w:val="22"/>
      <w:szCs w:val="22"/>
      <w:lang w:val="es-MX" w:eastAsia="en-US"/>
    </w:rPr>
  </w:style>
  <w:style w:type="paragraph" w:styleId="TDC2">
    <w:name w:val="toc 2"/>
    <w:basedOn w:val="Normal"/>
    <w:next w:val="Normal"/>
    <w:autoRedefine/>
    <w:uiPriority w:val="39"/>
    <w:unhideWhenUsed/>
    <w:rsid w:val="00AB0C80"/>
    <w:pPr>
      <w:spacing w:after="100" w:line="259" w:lineRule="auto"/>
      <w:ind w:left="220"/>
    </w:pPr>
    <w:rPr>
      <w:rFonts w:ascii="Barlow" w:eastAsia="Calibri" w:hAnsi="Barlow"/>
      <w:sz w:val="22"/>
      <w:szCs w:val="22"/>
      <w:lang w:val="es-MX" w:eastAsia="en-US"/>
    </w:rPr>
  </w:style>
  <w:style w:type="paragraph" w:styleId="TDC3">
    <w:name w:val="toc 3"/>
    <w:basedOn w:val="Normal"/>
    <w:next w:val="Normal"/>
    <w:autoRedefine/>
    <w:uiPriority w:val="39"/>
    <w:unhideWhenUsed/>
    <w:rsid w:val="00AB0C80"/>
    <w:pPr>
      <w:spacing w:after="100" w:line="259" w:lineRule="auto"/>
      <w:ind w:left="440"/>
    </w:pPr>
    <w:rPr>
      <w:rFonts w:ascii="Barlow" w:eastAsia="Calibri" w:hAnsi="Barlow"/>
      <w:sz w:val="22"/>
      <w:szCs w:val="22"/>
      <w:lang w:val="es-MX" w:eastAsia="en-US"/>
    </w:rPr>
  </w:style>
  <w:style w:type="paragraph" w:customStyle="1" w:styleId="xl63">
    <w:name w:val="xl63"/>
    <w:basedOn w:val="Normal"/>
    <w:rsid w:val="00AB0C80"/>
    <w:pPr>
      <w:pBdr>
        <w:top w:val="single" w:sz="8" w:space="0" w:color="auto"/>
        <w:left w:val="single" w:sz="8" w:space="0" w:color="auto"/>
        <w:bottom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64">
    <w:name w:val="xl64"/>
    <w:basedOn w:val="Normal"/>
    <w:rsid w:val="00AB0C80"/>
    <w:pPr>
      <w:pBdr>
        <w:top w:val="single" w:sz="8" w:space="0" w:color="auto"/>
        <w:bottom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90">
    <w:name w:val="xl90"/>
    <w:basedOn w:val="Normal"/>
    <w:rsid w:val="00AB0C80"/>
    <w:pPr>
      <w:shd w:val="clear" w:color="000000" w:fill="FFFFFF"/>
      <w:spacing w:before="100" w:beforeAutospacing="1" w:after="100" w:afterAutospacing="1"/>
      <w:textAlignment w:val="center"/>
    </w:pPr>
    <w:rPr>
      <w:lang w:val="es-MX" w:eastAsia="es-MX"/>
    </w:rPr>
  </w:style>
  <w:style w:type="paragraph" w:customStyle="1" w:styleId="xl91">
    <w:name w:val="xl91"/>
    <w:basedOn w:val="Normal"/>
    <w:rsid w:val="00AB0C80"/>
    <w:pPr>
      <w:pBdr>
        <w:top w:val="single" w:sz="8" w:space="0" w:color="auto"/>
        <w:bottom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92">
    <w:name w:val="xl92"/>
    <w:basedOn w:val="Normal"/>
    <w:rsid w:val="00AB0C80"/>
    <w:pPr>
      <w:shd w:val="clear" w:color="000000" w:fill="FFFFFF"/>
      <w:spacing w:before="100" w:beforeAutospacing="1" w:after="100" w:afterAutospacing="1"/>
      <w:jc w:val="right"/>
      <w:textAlignment w:val="center"/>
    </w:pPr>
    <w:rPr>
      <w:b/>
      <w:bCs/>
      <w:lang w:val="es-MX" w:eastAsia="es-MX"/>
    </w:rPr>
  </w:style>
  <w:style w:type="paragraph" w:customStyle="1" w:styleId="xl93">
    <w:name w:val="xl93"/>
    <w:basedOn w:val="Normal"/>
    <w:rsid w:val="00AB0C80"/>
    <w:pPr>
      <w:pBdr>
        <w:right w:val="single" w:sz="8" w:space="0" w:color="auto"/>
      </w:pBdr>
      <w:shd w:val="clear" w:color="000000" w:fill="FFFFFF"/>
      <w:spacing w:before="100" w:beforeAutospacing="1" w:after="100" w:afterAutospacing="1"/>
      <w:jc w:val="right"/>
      <w:textAlignment w:val="center"/>
    </w:pPr>
    <w:rPr>
      <w:b/>
      <w:bCs/>
      <w:lang w:val="es-MX" w:eastAsia="es-MX"/>
    </w:rPr>
  </w:style>
  <w:style w:type="paragraph" w:customStyle="1" w:styleId="xl94">
    <w:name w:val="xl94"/>
    <w:basedOn w:val="Normal"/>
    <w:rsid w:val="00AB0C80"/>
    <w:pPr>
      <w:shd w:val="clear" w:color="000000" w:fill="FFFFFF"/>
      <w:spacing w:before="100" w:beforeAutospacing="1" w:after="100" w:afterAutospacing="1"/>
      <w:jc w:val="right"/>
      <w:textAlignment w:val="center"/>
    </w:pPr>
    <w:rPr>
      <w:lang w:val="es-MX" w:eastAsia="es-MX"/>
    </w:rPr>
  </w:style>
  <w:style w:type="paragraph" w:customStyle="1" w:styleId="xl95">
    <w:name w:val="xl95"/>
    <w:basedOn w:val="Normal"/>
    <w:rsid w:val="00AB0C80"/>
    <w:pPr>
      <w:shd w:val="clear" w:color="000000" w:fill="FFFFFF"/>
      <w:spacing w:before="100" w:beforeAutospacing="1" w:after="100" w:afterAutospacing="1"/>
      <w:jc w:val="right"/>
      <w:textAlignment w:val="center"/>
    </w:pPr>
    <w:rPr>
      <w:lang w:val="es-MX" w:eastAsia="es-MX"/>
    </w:rPr>
  </w:style>
  <w:style w:type="paragraph" w:customStyle="1" w:styleId="xl96">
    <w:name w:val="xl96"/>
    <w:basedOn w:val="Normal"/>
    <w:rsid w:val="00AB0C80"/>
    <w:pPr>
      <w:shd w:val="clear" w:color="90EE90" w:fill="BFBFBF"/>
      <w:spacing w:before="100" w:beforeAutospacing="1" w:after="100" w:afterAutospacing="1"/>
      <w:jc w:val="right"/>
      <w:textAlignment w:val="center"/>
    </w:pPr>
    <w:rPr>
      <w:b/>
      <w:bCs/>
      <w:color w:val="000000"/>
      <w:lang w:val="es-MX" w:eastAsia="es-MX"/>
    </w:rPr>
  </w:style>
  <w:style w:type="paragraph" w:customStyle="1" w:styleId="xl97">
    <w:name w:val="xl97"/>
    <w:basedOn w:val="Normal"/>
    <w:rsid w:val="00AB0C80"/>
    <w:pPr>
      <w:pBdr>
        <w:right w:val="single" w:sz="8" w:space="0" w:color="auto"/>
      </w:pBdr>
      <w:shd w:val="clear" w:color="90EE90" w:fill="BFBFBF"/>
      <w:spacing w:before="100" w:beforeAutospacing="1" w:after="100" w:afterAutospacing="1"/>
      <w:jc w:val="right"/>
      <w:textAlignment w:val="center"/>
    </w:pPr>
    <w:rPr>
      <w:b/>
      <w:bCs/>
      <w:color w:val="000000"/>
      <w:lang w:val="es-MX" w:eastAsia="es-MX"/>
    </w:rPr>
  </w:style>
  <w:style w:type="paragraph" w:customStyle="1" w:styleId="xl98">
    <w:name w:val="xl98"/>
    <w:basedOn w:val="Normal"/>
    <w:rsid w:val="00AB0C80"/>
    <w:pPr>
      <w:shd w:val="clear" w:color="000000" w:fill="BFBFBF"/>
      <w:spacing w:before="100" w:beforeAutospacing="1" w:after="100" w:afterAutospacing="1"/>
      <w:jc w:val="right"/>
      <w:textAlignment w:val="center"/>
    </w:pPr>
    <w:rPr>
      <w:b/>
      <w:bCs/>
      <w:color w:val="000000"/>
      <w:lang w:val="es-MX" w:eastAsia="es-MX"/>
    </w:rPr>
  </w:style>
  <w:style w:type="paragraph" w:customStyle="1" w:styleId="xl99">
    <w:name w:val="xl99"/>
    <w:basedOn w:val="Normal"/>
    <w:rsid w:val="00AB0C80"/>
    <w:pPr>
      <w:pBdr>
        <w:right w:val="single" w:sz="8" w:space="0" w:color="auto"/>
      </w:pBdr>
      <w:shd w:val="clear" w:color="000000" w:fill="BFBFBF"/>
      <w:spacing w:before="100" w:beforeAutospacing="1" w:after="100" w:afterAutospacing="1"/>
      <w:jc w:val="right"/>
      <w:textAlignment w:val="center"/>
    </w:pPr>
    <w:rPr>
      <w:b/>
      <w:bCs/>
      <w:color w:val="000000"/>
      <w:lang w:val="es-MX" w:eastAsia="es-MX"/>
    </w:rPr>
  </w:style>
  <w:style w:type="paragraph" w:customStyle="1" w:styleId="xl100">
    <w:name w:val="xl100"/>
    <w:basedOn w:val="Normal"/>
    <w:rsid w:val="00AB0C80"/>
    <w:pPr>
      <w:shd w:val="clear" w:color="000000" w:fill="D9D9D9"/>
      <w:spacing w:before="100" w:beforeAutospacing="1" w:after="100" w:afterAutospacing="1"/>
      <w:jc w:val="right"/>
      <w:textAlignment w:val="center"/>
    </w:pPr>
    <w:rPr>
      <w:b/>
      <w:bCs/>
      <w:lang w:val="es-MX" w:eastAsia="es-MX"/>
    </w:rPr>
  </w:style>
  <w:style w:type="paragraph" w:customStyle="1" w:styleId="xl101">
    <w:name w:val="xl101"/>
    <w:basedOn w:val="Normal"/>
    <w:rsid w:val="00AB0C80"/>
    <w:pPr>
      <w:pBdr>
        <w:right w:val="single" w:sz="8" w:space="0" w:color="auto"/>
      </w:pBdr>
      <w:shd w:val="clear" w:color="000000" w:fill="D9D9D9"/>
      <w:spacing w:before="100" w:beforeAutospacing="1" w:after="100" w:afterAutospacing="1"/>
      <w:jc w:val="right"/>
      <w:textAlignment w:val="center"/>
    </w:pPr>
    <w:rPr>
      <w:b/>
      <w:bCs/>
      <w:lang w:val="es-MX" w:eastAsia="es-MX"/>
    </w:rPr>
  </w:style>
  <w:style w:type="paragraph" w:customStyle="1" w:styleId="xl102">
    <w:name w:val="xl102"/>
    <w:basedOn w:val="Normal"/>
    <w:rsid w:val="00AB0C80"/>
    <w:pPr>
      <w:pBdr>
        <w:bottom w:val="single" w:sz="8" w:space="0" w:color="auto"/>
      </w:pBdr>
      <w:shd w:val="clear" w:color="000000" w:fill="D9D9D9"/>
      <w:spacing w:before="100" w:beforeAutospacing="1" w:after="100" w:afterAutospacing="1"/>
      <w:jc w:val="right"/>
      <w:textAlignment w:val="center"/>
    </w:pPr>
    <w:rPr>
      <w:b/>
      <w:bCs/>
      <w:lang w:val="es-MX" w:eastAsia="es-MX"/>
    </w:rPr>
  </w:style>
  <w:style w:type="paragraph" w:customStyle="1" w:styleId="xl103">
    <w:name w:val="xl103"/>
    <w:basedOn w:val="Normal"/>
    <w:rsid w:val="00AB0C80"/>
    <w:pPr>
      <w:pBdr>
        <w:bottom w:val="single" w:sz="8" w:space="0" w:color="auto"/>
        <w:right w:val="single" w:sz="8" w:space="0" w:color="auto"/>
      </w:pBdr>
      <w:shd w:val="clear" w:color="000000" w:fill="D9D9D9"/>
      <w:spacing w:before="100" w:beforeAutospacing="1" w:after="100" w:afterAutospacing="1"/>
      <w:jc w:val="right"/>
      <w:textAlignment w:val="center"/>
    </w:pPr>
    <w:rPr>
      <w:b/>
      <w:bCs/>
      <w:lang w:val="es-MX" w:eastAsia="es-MX"/>
    </w:rPr>
  </w:style>
  <w:style w:type="paragraph" w:customStyle="1" w:styleId="xl104">
    <w:name w:val="xl104"/>
    <w:basedOn w:val="Normal"/>
    <w:rsid w:val="00AB0C80"/>
    <w:pPr>
      <w:pBdr>
        <w:top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05">
    <w:name w:val="xl105"/>
    <w:basedOn w:val="Normal"/>
    <w:rsid w:val="00AB0C80"/>
    <w:pPr>
      <w:pBdr>
        <w:top w:val="single" w:sz="8" w:space="0" w:color="auto"/>
        <w:right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06">
    <w:name w:val="xl106"/>
    <w:basedOn w:val="Normal"/>
    <w:rsid w:val="00AB0C80"/>
    <w:pPr>
      <w:shd w:val="clear" w:color="000000" w:fill="FFFFFF"/>
      <w:spacing w:before="100" w:beforeAutospacing="1" w:after="100" w:afterAutospacing="1"/>
      <w:textAlignment w:val="center"/>
    </w:pPr>
    <w:rPr>
      <w:lang w:val="es-MX" w:eastAsia="es-MX"/>
    </w:rPr>
  </w:style>
  <w:style w:type="paragraph" w:customStyle="1" w:styleId="xl107">
    <w:name w:val="xl107"/>
    <w:basedOn w:val="Normal"/>
    <w:rsid w:val="00AB0C80"/>
    <w:pPr>
      <w:shd w:val="clear" w:color="000000" w:fill="FFFFFF"/>
      <w:spacing w:before="100" w:beforeAutospacing="1" w:after="100" w:afterAutospacing="1"/>
      <w:textAlignment w:val="center"/>
    </w:pPr>
    <w:rPr>
      <w:lang w:val="es-MX" w:eastAsia="es-MX"/>
    </w:rPr>
  </w:style>
  <w:style w:type="paragraph" w:customStyle="1" w:styleId="xl108">
    <w:name w:val="xl108"/>
    <w:basedOn w:val="Normal"/>
    <w:rsid w:val="00AB0C80"/>
    <w:pPr>
      <w:shd w:val="clear" w:color="000000" w:fill="A9D08E"/>
      <w:spacing w:before="100" w:beforeAutospacing="1" w:after="100" w:afterAutospacing="1"/>
      <w:textAlignment w:val="center"/>
    </w:pPr>
    <w:rPr>
      <w:b/>
      <w:bCs/>
      <w:color w:val="000000"/>
      <w:lang w:val="es-MX" w:eastAsia="es-MX"/>
    </w:rPr>
  </w:style>
  <w:style w:type="paragraph" w:customStyle="1" w:styleId="xl109">
    <w:name w:val="xl109"/>
    <w:basedOn w:val="Normal"/>
    <w:rsid w:val="00AB0C80"/>
    <w:pPr>
      <w:pBdr>
        <w:right w:val="single" w:sz="8" w:space="0" w:color="auto"/>
      </w:pBdr>
      <w:shd w:val="clear" w:color="000000" w:fill="A9D08E"/>
      <w:spacing w:before="100" w:beforeAutospacing="1" w:after="100" w:afterAutospacing="1"/>
      <w:textAlignment w:val="center"/>
    </w:pPr>
    <w:rPr>
      <w:b/>
      <w:bCs/>
      <w:color w:val="000000"/>
      <w:lang w:val="es-MX" w:eastAsia="es-MX"/>
    </w:rPr>
  </w:style>
  <w:style w:type="paragraph" w:customStyle="1" w:styleId="xl110">
    <w:name w:val="xl110"/>
    <w:basedOn w:val="Normal"/>
    <w:rsid w:val="00AB0C80"/>
    <w:pPr>
      <w:spacing w:before="100" w:beforeAutospacing="1" w:after="100" w:afterAutospacing="1"/>
      <w:textAlignment w:val="center"/>
    </w:pPr>
    <w:rPr>
      <w:lang w:val="es-MX" w:eastAsia="es-MX"/>
    </w:rPr>
  </w:style>
  <w:style w:type="paragraph" w:customStyle="1" w:styleId="xl111">
    <w:name w:val="xl111"/>
    <w:basedOn w:val="Normal"/>
    <w:rsid w:val="00AB0C80"/>
    <w:pPr>
      <w:shd w:val="clear" w:color="000000" w:fill="FFFFFF"/>
      <w:spacing w:before="100" w:beforeAutospacing="1" w:after="100" w:afterAutospacing="1"/>
      <w:textAlignment w:val="center"/>
    </w:pPr>
    <w:rPr>
      <w:color w:val="FFFFFF"/>
      <w:lang w:val="es-MX" w:eastAsia="es-MX"/>
    </w:rPr>
  </w:style>
  <w:style w:type="paragraph" w:customStyle="1" w:styleId="xl112">
    <w:name w:val="xl112"/>
    <w:basedOn w:val="Normal"/>
    <w:rsid w:val="00AB0C80"/>
    <w:pPr>
      <w:shd w:val="clear" w:color="000000" w:fill="FFFFFF"/>
      <w:spacing w:before="100" w:beforeAutospacing="1" w:after="100" w:afterAutospacing="1"/>
      <w:textAlignment w:val="center"/>
    </w:pPr>
    <w:rPr>
      <w:color w:val="FFFFFF"/>
      <w:lang w:val="es-MX" w:eastAsia="es-MX"/>
    </w:rPr>
  </w:style>
  <w:style w:type="paragraph" w:customStyle="1" w:styleId="xl113">
    <w:name w:val="xl113"/>
    <w:basedOn w:val="Normal"/>
    <w:rsid w:val="00AB0C80"/>
    <w:pPr>
      <w:shd w:val="clear" w:color="000000" w:fill="FFFFFF"/>
      <w:spacing w:before="100" w:beforeAutospacing="1" w:after="100" w:afterAutospacing="1"/>
      <w:textAlignment w:val="center"/>
    </w:pPr>
    <w:rPr>
      <w:color w:val="FFFFFF"/>
      <w:lang w:val="es-MX" w:eastAsia="es-MX"/>
    </w:rPr>
  </w:style>
  <w:style w:type="paragraph" w:customStyle="1" w:styleId="xl114">
    <w:name w:val="xl114"/>
    <w:basedOn w:val="Normal"/>
    <w:rsid w:val="00AB0C80"/>
    <w:pPr>
      <w:shd w:val="clear" w:color="F0E68C" w:fill="C6E0B4"/>
      <w:spacing w:before="100" w:beforeAutospacing="1" w:after="100" w:afterAutospacing="1"/>
      <w:textAlignment w:val="center"/>
    </w:pPr>
    <w:rPr>
      <w:b/>
      <w:bCs/>
      <w:color w:val="000000"/>
      <w:lang w:val="es-MX" w:eastAsia="es-MX"/>
    </w:rPr>
  </w:style>
  <w:style w:type="paragraph" w:customStyle="1" w:styleId="xl115">
    <w:name w:val="xl115"/>
    <w:basedOn w:val="Normal"/>
    <w:rsid w:val="00AB0C80"/>
    <w:pPr>
      <w:pBdr>
        <w:right w:val="single" w:sz="8" w:space="0" w:color="auto"/>
      </w:pBdr>
      <w:shd w:val="clear" w:color="F0E68C" w:fill="C6E0B4"/>
      <w:spacing w:before="100" w:beforeAutospacing="1" w:after="100" w:afterAutospacing="1"/>
      <w:textAlignment w:val="center"/>
    </w:pPr>
    <w:rPr>
      <w:b/>
      <w:bCs/>
      <w:color w:val="000000"/>
      <w:lang w:val="es-MX" w:eastAsia="es-MX"/>
    </w:rPr>
  </w:style>
  <w:style w:type="paragraph" w:customStyle="1" w:styleId="xl116">
    <w:name w:val="xl116"/>
    <w:basedOn w:val="Normal"/>
    <w:rsid w:val="00AB0C80"/>
    <w:pPr>
      <w:shd w:val="clear" w:color="000000" w:fill="FFFFFF"/>
      <w:spacing w:before="100" w:beforeAutospacing="1" w:after="100" w:afterAutospacing="1"/>
      <w:textAlignment w:val="center"/>
    </w:pPr>
    <w:rPr>
      <w:b/>
      <w:bCs/>
      <w:lang w:val="es-MX" w:eastAsia="es-MX"/>
    </w:rPr>
  </w:style>
  <w:style w:type="paragraph" w:customStyle="1" w:styleId="xl117">
    <w:name w:val="xl117"/>
    <w:basedOn w:val="Normal"/>
    <w:rsid w:val="00AB0C80"/>
    <w:pPr>
      <w:spacing w:before="100" w:beforeAutospacing="1" w:after="100" w:afterAutospacing="1"/>
      <w:textAlignment w:val="center"/>
    </w:pPr>
    <w:rPr>
      <w:lang w:val="es-MX" w:eastAsia="es-MX"/>
    </w:rPr>
  </w:style>
  <w:style w:type="paragraph" w:customStyle="1" w:styleId="xl118">
    <w:name w:val="xl118"/>
    <w:basedOn w:val="Normal"/>
    <w:rsid w:val="00AB0C80"/>
    <w:pPr>
      <w:shd w:val="clear" w:color="000000" w:fill="FFFFFF"/>
      <w:spacing w:before="100" w:beforeAutospacing="1" w:after="100" w:afterAutospacing="1"/>
      <w:textAlignment w:val="center"/>
    </w:pPr>
    <w:rPr>
      <w:color w:val="000000"/>
      <w:lang w:val="es-MX" w:eastAsia="es-MX"/>
    </w:rPr>
  </w:style>
  <w:style w:type="paragraph" w:customStyle="1" w:styleId="xl119">
    <w:name w:val="xl119"/>
    <w:basedOn w:val="Normal"/>
    <w:rsid w:val="00AB0C80"/>
    <w:pPr>
      <w:pBdr>
        <w:right w:val="single" w:sz="8" w:space="0" w:color="auto"/>
      </w:pBdr>
      <w:shd w:val="clear" w:color="000000" w:fill="FFFFFF"/>
      <w:spacing w:before="100" w:beforeAutospacing="1" w:after="100" w:afterAutospacing="1"/>
      <w:textAlignment w:val="center"/>
    </w:pPr>
    <w:rPr>
      <w:color w:val="000000"/>
      <w:lang w:val="es-MX" w:eastAsia="es-MX"/>
    </w:rPr>
  </w:style>
  <w:style w:type="paragraph" w:customStyle="1" w:styleId="xl120">
    <w:name w:val="xl120"/>
    <w:basedOn w:val="Normal"/>
    <w:rsid w:val="00AB0C80"/>
    <w:pPr>
      <w:pBdr>
        <w:bottom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21">
    <w:name w:val="xl121"/>
    <w:basedOn w:val="Normal"/>
    <w:rsid w:val="00AB0C80"/>
    <w:pPr>
      <w:shd w:val="clear" w:color="000000" w:fill="FFFFFF"/>
      <w:spacing w:before="100" w:beforeAutospacing="1" w:after="100" w:afterAutospacing="1"/>
      <w:textAlignment w:val="center"/>
    </w:pPr>
    <w:rPr>
      <w:lang w:val="es-MX" w:eastAsia="es-MX"/>
    </w:rPr>
  </w:style>
  <w:style w:type="paragraph" w:customStyle="1" w:styleId="xl122">
    <w:name w:val="xl122"/>
    <w:basedOn w:val="Normal"/>
    <w:rsid w:val="00AB0C80"/>
    <w:pPr>
      <w:shd w:val="clear" w:color="000000" w:fill="FFFFFF"/>
      <w:spacing w:before="100" w:beforeAutospacing="1" w:after="100" w:afterAutospacing="1"/>
      <w:textAlignment w:val="center"/>
    </w:pPr>
    <w:rPr>
      <w:lang w:val="es-MX" w:eastAsia="es-MX"/>
    </w:rPr>
  </w:style>
  <w:style w:type="paragraph" w:customStyle="1" w:styleId="xl123">
    <w:name w:val="xl123"/>
    <w:basedOn w:val="Normal"/>
    <w:rsid w:val="00AB0C80"/>
    <w:pPr>
      <w:pBdr>
        <w:left w:val="single" w:sz="8" w:space="0" w:color="auto"/>
      </w:pBdr>
      <w:shd w:val="clear" w:color="000000" w:fill="D9D9D9"/>
      <w:spacing w:before="100" w:beforeAutospacing="1" w:after="100" w:afterAutospacing="1"/>
      <w:textAlignment w:val="center"/>
    </w:pPr>
    <w:rPr>
      <w:b/>
      <w:bCs/>
      <w:color w:val="000000"/>
      <w:lang w:val="es-MX" w:eastAsia="es-MX"/>
    </w:rPr>
  </w:style>
  <w:style w:type="paragraph" w:customStyle="1" w:styleId="xl124">
    <w:name w:val="xl124"/>
    <w:basedOn w:val="Normal"/>
    <w:rsid w:val="00AB0C80"/>
    <w:pPr>
      <w:pBdr>
        <w:left w:val="single" w:sz="8" w:space="0" w:color="auto"/>
      </w:pBdr>
      <w:shd w:val="clear" w:color="D3D3D3" w:fill="9BC2E6"/>
      <w:spacing w:before="100" w:beforeAutospacing="1" w:after="100" w:afterAutospacing="1"/>
      <w:textAlignment w:val="center"/>
    </w:pPr>
    <w:rPr>
      <w:b/>
      <w:bCs/>
      <w:color w:val="000000"/>
      <w:lang w:val="es-MX" w:eastAsia="es-MX"/>
    </w:rPr>
  </w:style>
  <w:style w:type="paragraph" w:customStyle="1" w:styleId="xl125">
    <w:name w:val="xl125"/>
    <w:basedOn w:val="Normal"/>
    <w:rsid w:val="00AB0C80"/>
    <w:pPr>
      <w:pBdr>
        <w:left w:val="single" w:sz="8" w:space="7" w:color="auto"/>
      </w:pBdr>
      <w:shd w:val="clear" w:color="000000" w:fill="FFFFFF"/>
      <w:spacing w:before="100" w:beforeAutospacing="1" w:after="100" w:afterAutospacing="1"/>
      <w:ind w:firstLineChars="100" w:firstLine="100"/>
      <w:textAlignment w:val="center"/>
    </w:pPr>
    <w:rPr>
      <w:b/>
      <w:bCs/>
      <w:color w:val="000000"/>
      <w:lang w:val="es-MX" w:eastAsia="es-MX"/>
    </w:rPr>
  </w:style>
  <w:style w:type="paragraph" w:customStyle="1" w:styleId="xl126">
    <w:name w:val="xl126"/>
    <w:basedOn w:val="Normal"/>
    <w:rsid w:val="00AB0C80"/>
    <w:pPr>
      <w:pBdr>
        <w:left w:val="single" w:sz="8" w:space="7" w:color="auto"/>
      </w:pBdr>
      <w:shd w:val="clear" w:color="000000" w:fill="FFFFFF"/>
      <w:spacing w:before="100" w:beforeAutospacing="1" w:after="100" w:afterAutospacing="1"/>
      <w:ind w:firstLineChars="100" w:firstLine="100"/>
      <w:textAlignment w:val="center"/>
    </w:pPr>
    <w:rPr>
      <w:color w:val="000000"/>
      <w:lang w:val="es-MX" w:eastAsia="es-MX"/>
    </w:rPr>
  </w:style>
  <w:style w:type="paragraph" w:customStyle="1" w:styleId="xl127">
    <w:name w:val="xl127"/>
    <w:basedOn w:val="Normal"/>
    <w:rsid w:val="00AB0C80"/>
    <w:pPr>
      <w:pBdr>
        <w:left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28">
    <w:name w:val="xl128"/>
    <w:basedOn w:val="Normal"/>
    <w:rsid w:val="00AB0C80"/>
    <w:pPr>
      <w:pBdr>
        <w:left w:val="single" w:sz="8" w:space="0" w:color="auto"/>
      </w:pBdr>
      <w:shd w:val="clear" w:color="000000" w:fill="FFFFFF"/>
      <w:spacing w:before="100" w:beforeAutospacing="1" w:after="100" w:afterAutospacing="1"/>
      <w:textAlignment w:val="center"/>
    </w:pPr>
    <w:rPr>
      <w:b/>
      <w:bCs/>
      <w:color w:val="000000"/>
      <w:lang w:val="es-MX" w:eastAsia="es-MX"/>
    </w:rPr>
  </w:style>
  <w:style w:type="paragraph" w:customStyle="1" w:styleId="xl129">
    <w:name w:val="xl129"/>
    <w:basedOn w:val="Normal"/>
    <w:rsid w:val="00AB0C80"/>
    <w:pPr>
      <w:pBdr>
        <w:left w:val="single" w:sz="8" w:space="0" w:color="auto"/>
      </w:pBdr>
      <w:shd w:val="clear" w:color="000000" w:fill="BFBFBF"/>
      <w:spacing w:before="100" w:beforeAutospacing="1" w:after="100" w:afterAutospacing="1"/>
      <w:textAlignment w:val="center"/>
    </w:pPr>
    <w:rPr>
      <w:b/>
      <w:bCs/>
      <w:color w:val="000000"/>
      <w:lang w:val="es-MX" w:eastAsia="es-MX"/>
    </w:rPr>
  </w:style>
  <w:style w:type="paragraph" w:customStyle="1" w:styleId="xl130">
    <w:name w:val="xl130"/>
    <w:basedOn w:val="Normal"/>
    <w:rsid w:val="00AB0C80"/>
    <w:pPr>
      <w:pBdr>
        <w:left w:val="single" w:sz="8" w:space="0" w:color="auto"/>
      </w:pBdr>
      <w:shd w:val="clear" w:color="000000" w:fill="D9D9D9"/>
      <w:spacing w:before="100" w:beforeAutospacing="1" w:after="100" w:afterAutospacing="1"/>
      <w:textAlignment w:val="center"/>
    </w:pPr>
    <w:rPr>
      <w:color w:val="000000"/>
      <w:lang w:val="es-MX" w:eastAsia="es-MX"/>
    </w:rPr>
  </w:style>
  <w:style w:type="paragraph" w:customStyle="1" w:styleId="xl131">
    <w:name w:val="xl131"/>
    <w:basedOn w:val="Normal"/>
    <w:rsid w:val="00AB0C80"/>
    <w:pPr>
      <w:pBdr>
        <w:left w:val="single" w:sz="8" w:space="0" w:color="auto"/>
        <w:bottom w:val="single" w:sz="8" w:space="0" w:color="auto"/>
      </w:pBdr>
      <w:shd w:val="clear" w:color="000000" w:fill="D9D9D9"/>
      <w:spacing w:before="100" w:beforeAutospacing="1" w:after="100" w:afterAutospacing="1"/>
      <w:textAlignment w:val="center"/>
    </w:pPr>
    <w:rPr>
      <w:b/>
      <w:bCs/>
      <w:color w:val="000000"/>
      <w:lang w:val="es-MX" w:eastAsia="es-MX"/>
    </w:rPr>
  </w:style>
  <w:style w:type="paragraph" w:customStyle="1" w:styleId="xl132">
    <w:name w:val="xl132"/>
    <w:basedOn w:val="Normal"/>
    <w:rsid w:val="00AB0C80"/>
    <w:pPr>
      <w:pBdr>
        <w:top w:val="single" w:sz="8" w:space="0" w:color="auto"/>
      </w:pBdr>
      <w:shd w:val="clear" w:color="000000" w:fill="D9D9D9"/>
      <w:spacing w:before="100" w:beforeAutospacing="1" w:after="100" w:afterAutospacing="1"/>
      <w:textAlignment w:val="center"/>
    </w:pPr>
    <w:rPr>
      <w:b/>
      <w:bCs/>
      <w:color w:val="000000"/>
      <w:lang w:val="es-MX" w:eastAsia="es-MX"/>
    </w:rPr>
  </w:style>
  <w:style w:type="paragraph" w:customStyle="1" w:styleId="xl133">
    <w:name w:val="xl133"/>
    <w:basedOn w:val="Normal"/>
    <w:rsid w:val="00AB0C80"/>
    <w:pPr>
      <w:pBdr>
        <w:top w:val="single" w:sz="8" w:space="0" w:color="auto"/>
        <w:right w:val="single" w:sz="8" w:space="0" w:color="auto"/>
      </w:pBdr>
      <w:shd w:val="clear" w:color="000000" w:fill="D9D9D9"/>
      <w:spacing w:before="100" w:beforeAutospacing="1" w:after="100" w:afterAutospacing="1"/>
      <w:textAlignment w:val="center"/>
    </w:pPr>
    <w:rPr>
      <w:b/>
      <w:bCs/>
      <w:color w:val="000000"/>
      <w:lang w:val="es-MX" w:eastAsia="es-MX"/>
    </w:rPr>
  </w:style>
  <w:style w:type="paragraph" w:customStyle="1" w:styleId="xl134">
    <w:name w:val="xl134"/>
    <w:basedOn w:val="Normal"/>
    <w:rsid w:val="00AB0C80"/>
    <w:pPr>
      <w:pBdr>
        <w:top w:val="single" w:sz="8" w:space="0" w:color="auto"/>
        <w:left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35">
    <w:name w:val="xl135"/>
    <w:basedOn w:val="Normal"/>
    <w:rsid w:val="00AB0C80"/>
    <w:pPr>
      <w:pBdr>
        <w:left w:val="single" w:sz="8" w:space="0" w:color="auto"/>
      </w:pBdr>
      <w:shd w:val="clear" w:color="90EE90" w:fill="FFFFFF"/>
      <w:spacing w:before="100" w:beforeAutospacing="1" w:after="100" w:afterAutospacing="1"/>
      <w:textAlignment w:val="center"/>
    </w:pPr>
    <w:rPr>
      <w:b/>
      <w:bCs/>
      <w:color w:val="000000"/>
      <w:lang w:val="es-MX" w:eastAsia="es-MX"/>
    </w:rPr>
  </w:style>
  <w:style w:type="paragraph" w:customStyle="1" w:styleId="xl136">
    <w:name w:val="xl136"/>
    <w:basedOn w:val="Normal"/>
    <w:rsid w:val="00AB0C80"/>
    <w:pPr>
      <w:pBdr>
        <w:left w:val="single" w:sz="8" w:space="0" w:color="auto"/>
      </w:pBdr>
      <w:shd w:val="clear" w:color="000000" w:fill="A9D08E"/>
      <w:spacing w:before="100" w:beforeAutospacing="1" w:after="100" w:afterAutospacing="1"/>
      <w:textAlignment w:val="center"/>
    </w:pPr>
    <w:rPr>
      <w:b/>
      <w:bCs/>
      <w:color w:val="000000"/>
      <w:lang w:val="es-MX" w:eastAsia="es-MX"/>
    </w:rPr>
  </w:style>
  <w:style w:type="paragraph" w:customStyle="1" w:styleId="xl137">
    <w:name w:val="xl137"/>
    <w:basedOn w:val="Normal"/>
    <w:rsid w:val="00AB0C80"/>
    <w:pPr>
      <w:pBdr>
        <w:left w:val="single" w:sz="8" w:space="0" w:color="auto"/>
      </w:pBdr>
      <w:shd w:val="clear" w:color="000000" w:fill="FFFFFF"/>
      <w:spacing w:before="100" w:beforeAutospacing="1" w:after="100" w:afterAutospacing="1"/>
      <w:textAlignment w:val="center"/>
    </w:pPr>
    <w:rPr>
      <w:color w:val="FFFFFF"/>
      <w:lang w:val="es-MX" w:eastAsia="es-MX"/>
    </w:rPr>
  </w:style>
  <w:style w:type="paragraph" w:customStyle="1" w:styleId="xl138">
    <w:name w:val="xl138"/>
    <w:basedOn w:val="Normal"/>
    <w:rsid w:val="00AB0C80"/>
    <w:pPr>
      <w:pBdr>
        <w:left w:val="single" w:sz="8" w:space="0" w:color="auto"/>
      </w:pBdr>
      <w:shd w:val="clear" w:color="F0E68C" w:fill="C6E0B4"/>
      <w:spacing w:before="100" w:beforeAutospacing="1" w:after="100" w:afterAutospacing="1"/>
      <w:textAlignment w:val="center"/>
    </w:pPr>
    <w:rPr>
      <w:b/>
      <w:bCs/>
      <w:color w:val="000000"/>
      <w:lang w:val="es-MX" w:eastAsia="es-MX"/>
    </w:rPr>
  </w:style>
  <w:style w:type="paragraph" w:customStyle="1" w:styleId="xl139">
    <w:name w:val="xl139"/>
    <w:basedOn w:val="Normal"/>
    <w:rsid w:val="00AB0C80"/>
    <w:pPr>
      <w:pBdr>
        <w:left w:val="single" w:sz="8" w:space="0" w:color="auto"/>
      </w:pBdr>
      <w:shd w:val="clear" w:color="000000" w:fill="FFFFFF"/>
      <w:spacing w:before="100" w:beforeAutospacing="1" w:after="100" w:afterAutospacing="1"/>
      <w:textAlignment w:val="center"/>
    </w:pPr>
    <w:rPr>
      <w:b/>
      <w:bCs/>
      <w:color w:val="000000"/>
      <w:lang w:val="es-MX" w:eastAsia="es-MX"/>
    </w:rPr>
  </w:style>
  <w:style w:type="paragraph" w:customStyle="1" w:styleId="xl140">
    <w:name w:val="xl140"/>
    <w:basedOn w:val="Normal"/>
    <w:rsid w:val="00AB0C80"/>
    <w:pPr>
      <w:pBdr>
        <w:left w:val="single" w:sz="8" w:space="0" w:color="auto"/>
        <w:bottom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41">
    <w:name w:val="xl141"/>
    <w:basedOn w:val="Normal"/>
    <w:rsid w:val="00AB0C80"/>
    <w:pPr>
      <w:shd w:val="clear" w:color="000000" w:fill="FFFFFF"/>
      <w:spacing w:before="100" w:beforeAutospacing="1" w:after="100" w:afterAutospacing="1"/>
      <w:textAlignment w:val="center"/>
    </w:pPr>
    <w:rPr>
      <w:lang w:val="es-MX" w:eastAsia="es-MX"/>
    </w:rPr>
  </w:style>
  <w:style w:type="paragraph" w:customStyle="1" w:styleId="xl142">
    <w:name w:val="xl142"/>
    <w:basedOn w:val="Normal"/>
    <w:rsid w:val="00AB0C80"/>
    <w:pPr>
      <w:pBdr>
        <w:bottom w:val="single" w:sz="8" w:space="0" w:color="auto"/>
        <w:right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43">
    <w:name w:val="xl143"/>
    <w:basedOn w:val="Normal"/>
    <w:rsid w:val="00AB0C80"/>
    <w:pPr>
      <w:pBdr>
        <w:top w:val="single" w:sz="8" w:space="0" w:color="auto"/>
        <w:bottom w:val="single" w:sz="8" w:space="0" w:color="auto"/>
        <w:right w:val="single" w:sz="8" w:space="0" w:color="auto"/>
      </w:pBdr>
      <w:shd w:val="clear" w:color="00008B" w:fill="00008B"/>
      <w:spacing w:before="100" w:beforeAutospacing="1" w:after="100" w:afterAutospacing="1"/>
      <w:ind w:firstLineChars="600" w:firstLine="600"/>
      <w:textAlignment w:val="center"/>
    </w:pPr>
    <w:rPr>
      <w:b/>
      <w:bCs/>
      <w:color w:val="FFFFFF"/>
      <w:lang w:val="es-MX" w:eastAsia="es-MX"/>
    </w:rPr>
  </w:style>
  <w:style w:type="paragraph" w:customStyle="1" w:styleId="xl144">
    <w:name w:val="xl144"/>
    <w:basedOn w:val="Normal"/>
    <w:rsid w:val="00AB0C80"/>
    <w:pPr>
      <w:shd w:val="clear" w:color="000000" w:fill="FFFFFF"/>
      <w:spacing w:before="100" w:beforeAutospacing="1" w:after="100" w:afterAutospacing="1"/>
      <w:textAlignment w:val="center"/>
    </w:pPr>
    <w:rPr>
      <w:lang w:val="es-MX" w:eastAsia="es-MX"/>
    </w:rPr>
  </w:style>
  <w:style w:type="paragraph" w:customStyle="1" w:styleId="xl145">
    <w:name w:val="xl145"/>
    <w:basedOn w:val="Normal"/>
    <w:rsid w:val="00AB0C80"/>
    <w:pPr>
      <w:pBdr>
        <w:right w:val="single" w:sz="8" w:space="0" w:color="auto"/>
      </w:pBdr>
      <w:shd w:val="clear" w:color="000000" w:fill="FFFFFF"/>
      <w:spacing w:before="100" w:beforeAutospacing="1" w:after="100" w:afterAutospacing="1"/>
      <w:jc w:val="right"/>
      <w:textAlignment w:val="center"/>
    </w:pPr>
    <w:rPr>
      <w:color w:val="000000"/>
      <w:lang w:val="es-MX" w:eastAsia="es-MX"/>
    </w:rPr>
  </w:style>
  <w:style w:type="paragraph" w:customStyle="1" w:styleId="xl146">
    <w:name w:val="xl146"/>
    <w:basedOn w:val="Normal"/>
    <w:rsid w:val="00AB0C80"/>
    <w:pPr>
      <w:pBdr>
        <w:right w:val="single" w:sz="8" w:space="0" w:color="auto"/>
      </w:pBdr>
      <w:shd w:val="clear" w:color="F0E68C" w:fill="D9E1F2"/>
      <w:spacing w:before="100" w:beforeAutospacing="1" w:after="100" w:afterAutospacing="1"/>
      <w:jc w:val="right"/>
      <w:textAlignment w:val="center"/>
    </w:pPr>
    <w:rPr>
      <w:b/>
      <w:bCs/>
      <w:color w:val="000000"/>
      <w:lang w:val="es-MX" w:eastAsia="es-MX"/>
    </w:rPr>
  </w:style>
  <w:style w:type="paragraph" w:customStyle="1" w:styleId="xl147">
    <w:name w:val="xl147"/>
    <w:basedOn w:val="Normal"/>
    <w:rsid w:val="00AB0C80"/>
    <w:pPr>
      <w:pBdr>
        <w:right w:val="single" w:sz="8" w:space="0" w:color="auto"/>
      </w:pBdr>
      <w:shd w:val="clear" w:color="F0E68C" w:fill="FFFFFF"/>
      <w:spacing w:before="100" w:beforeAutospacing="1" w:after="100" w:afterAutospacing="1"/>
      <w:jc w:val="right"/>
      <w:textAlignment w:val="center"/>
    </w:pPr>
    <w:rPr>
      <w:b/>
      <w:bCs/>
      <w:color w:val="000000"/>
      <w:lang w:val="es-MX" w:eastAsia="es-MX"/>
    </w:rPr>
  </w:style>
  <w:style w:type="paragraph" w:customStyle="1" w:styleId="xl148">
    <w:name w:val="xl148"/>
    <w:basedOn w:val="Normal"/>
    <w:rsid w:val="00AB0C80"/>
    <w:pPr>
      <w:pBdr>
        <w:top w:val="single" w:sz="8" w:space="0" w:color="auto"/>
        <w:bottom w:val="single" w:sz="8" w:space="0" w:color="auto"/>
        <w:right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149">
    <w:name w:val="xl149"/>
    <w:basedOn w:val="Normal"/>
    <w:rsid w:val="00AB0C80"/>
    <w:pPr>
      <w:pBdr>
        <w:right w:val="single" w:sz="8" w:space="0" w:color="auto"/>
      </w:pBdr>
      <w:shd w:val="clear" w:color="000000" w:fill="FFFFFF"/>
      <w:spacing w:before="100" w:beforeAutospacing="1" w:after="100" w:afterAutospacing="1"/>
      <w:jc w:val="center"/>
      <w:textAlignment w:val="center"/>
    </w:pPr>
    <w:rPr>
      <w:lang w:val="es-MX" w:eastAsia="es-MX"/>
    </w:rPr>
  </w:style>
  <w:style w:type="paragraph" w:customStyle="1" w:styleId="xl150">
    <w:name w:val="xl150"/>
    <w:basedOn w:val="Normal"/>
    <w:rsid w:val="00AB0C80"/>
    <w:pPr>
      <w:pBdr>
        <w:right w:val="single" w:sz="8" w:space="0" w:color="auto"/>
      </w:pBdr>
      <w:shd w:val="clear" w:color="000000" w:fill="FFFFFF"/>
      <w:spacing w:before="100" w:beforeAutospacing="1" w:after="100" w:afterAutospacing="1"/>
      <w:jc w:val="right"/>
      <w:textAlignment w:val="center"/>
    </w:pPr>
    <w:rPr>
      <w:lang w:val="es-MX" w:eastAsia="es-MX"/>
    </w:rPr>
  </w:style>
  <w:style w:type="paragraph" w:customStyle="1" w:styleId="xl151">
    <w:name w:val="xl151"/>
    <w:basedOn w:val="Normal"/>
    <w:rsid w:val="00AB0C80"/>
    <w:pPr>
      <w:pBdr>
        <w:right w:val="single" w:sz="8" w:space="0" w:color="auto"/>
      </w:pBdr>
      <w:shd w:val="clear" w:color="000000" w:fill="FFFFFF"/>
      <w:spacing w:before="100" w:beforeAutospacing="1" w:after="100" w:afterAutospacing="1"/>
      <w:textAlignment w:val="center"/>
    </w:pPr>
    <w:rPr>
      <w:color w:val="FFFFFF"/>
      <w:lang w:val="es-MX" w:eastAsia="es-MX"/>
    </w:rPr>
  </w:style>
  <w:style w:type="paragraph" w:customStyle="1" w:styleId="xl152">
    <w:name w:val="xl152"/>
    <w:basedOn w:val="Normal"/>
    <w:rsid w:val="00AB0C80"/>
    <w:pPr>
      <w:pBdr>
        <w:right w:val="single" w:sz="8" w:space="0" w:color="auto"/>
      </w:pBdr>
      <w:shd w:val="clear" w:color="000000" w:fill="FFFFFF"/>
      <w:spacing w:before="100" w:beforeAutospacing="1" w:after="100" w:afterAutospacing="1"/>
      <w:textAlignment w:val="center"/>
    </w:pPr>
    <w:rPr>
      <w:b/>
      <w:bCs/>
      <w:lang w:val="es-MX" w:eastAsia="es-MX"/>
    </w:rPr>
  </w:style>
  <w:style w:type="paragraph" w:customStyle="1" w:styleId="xl153">
    <w:name w:val="xl153"/>
    <w:basedOn w:val="Normal"/>
    <w:rsid w:val="00AB0C80"/>
    <w:pPr>
      <w:pBdr>
        <w:right w:val="single" w:sz="8" w:space="0" w:color="auto"/>
      </w:pBdr>
      <w:shd w:val="clear" w:color="000000" w:fill="FFFFFF"/>
      <w:spacing w:before="100" w:beforeAutospacing="1" w:after="100" w:afterAutospacing="1"/>
      <w:textAlignment w:val="center"/>
    </w:pPr>
    <w:rPr>
      <w:color w:val="FFFFFF"/>
      <w:lang w:val="es-MX" w:eastAsia="es-MX"/>
    </w:rPr>
  </w:style>
  <w:style w:type="paragraph" w:customStyle="1" w:styleId="xl154">
    <w:name w:val="xl154"/>
    <w:basedOn w:val="Normal"/>
    <w:rsid w:val="00AB0C80"/>
    <w:pPr>
      <w:pBdr>
        <w:right w:val="single" w:sz="8" w:space="0" w:color="auto"/>
      </w:pBdr>
      <w:shd w:val="clear" w:color="000000" w:fill="FFFFFF"/>
      <w:spacing w:before="100" w:beforeAutospacing="1" w:after="100" w:afterAutospacing="1"/>
      <w:jc w:val="right"/>
      <w:textAlignment w:val="center"/>
    </w:pPr>
    <w:rPr>
      <w:color w:val="FFFFFF"/>
      <w:lang w:val="es-MX" w:eastAsia="es-MX"/>
    </w:rPr>
  </w:style>
  <w:style w:type="paragraph" w:customStyle="1" w:styleId="xl155">
    <w:name w:val="xl155"/>
    <w:basedOn w:val="Normal"/>
    <w:rsid w:val="00AB0C80"/>
    <w:pPr>
      <w:pBdr>
        <w:top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56">
    <w:name w:val="xl156"/>
    <w:basedOn w:val="Normal"/>
    <w:rsid w:val="00AB0C80"/>
    <w:pPr>
      <w:pBdr>
        <w:top w:val="single" w:sz="8" w:space="0" w:color="auto"/>
        <w:right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57">
    <w:name w:val="xl157"/>
    <w:basedOn w:val="Normal"/>
    <w:rsid w:val="00AB0C80"/>
    <w:pPr>
      <w:pBdr>
        <w:top w:val="single" w:sz="8" w:space="0" w:color="auto"/>
        <w:left w:val="single" w:sz="8" w:space="0" w:color="auto"/>
        <w:bottom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58">
    <w:name w:val="xl158"/>
    <w:basedOn w:val="Normal"/>
    <w:rsid w:val="00AB0C80"/>
    <w:pPr>
      <w:pBdr>
        <w:top w:val="single" w:sz="8" w:space="0" w:color="auto"/>
        <w:bottom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59">
    <w:name w:val="xl159"/>
    <w:basedOn w:val="Normal"/>
    <w:rsid w:val="00AB0C80"/>
    <w:pPr>
      <w:pBdr>
        <w:top w:val="single" w:sz="8" w:space="0" w:color="auto"/>
        <w:bottom w:val="single" w:sz="8" w:space="0" w:color="auto"/>
        <w:right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60">
    <w:name w:val="xl160"/>
    <w:basedOn w:val="Normal"/>
    <w:rsid w:val="00AB0C80"/>
    <w:pPr>
      <w:pBdr>
        <w:top w:val="single" w:sz="8" w:space="0" w:color="auto"/>
        <w:bottom w:val="single" w:sz="8" w:space="0" w:color="auto"/>
        <w:right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161">
    <w:name w:val="xl161"/>
    <w:basedOn w:val="Normal"/>
    <w:rsid w:val="00AB0C80"/>
    <w:pPr>
      <w:shd w:val="clear" w:color="000000" w:fill="FFFFFF"/>
      <w:spacing w:before="100" w:beforeAutospacing="1" w:after="100" w:afterAutospacing="1"/>
      <w:textAlignment w:val="center"/>
    </w:pPr>
    <w:rPr>
      <w:lang w:val="es-MX" w:eastAsia="es-MX"/>
    </w:rPr>
  </w:style>
  <w:style w:type="paragraph" w:customStyle="1" w:styleId="xl162">
    <w:name w:val="xl162"/>
    <w:basedOn w:val="Normal"/>
    <w:rsid w:val="00AB0C80"/>
    <w:pPr>
      <w:pBdr>
        <w:top w:val="single" w:sz="8" w:space="0" w:color="auto"/>
        <w:left w:val="single" w:sz="8" w:space="0" w:color="auto"/>
        <w:bottom w:val="single" w:sz="8" w:space="0" w:color="auto"/>
        <w:right w:val="single" w:sz="8" w:space="0" w:color="auto"/>
      </w:pBdr>
      <w:shd w:val="clear" w:color="000000" w:fill="00008B"/>
      <w:spacing w:before="100" w:beforeAutospacing="1" w:after="100" w:afterAutospacing="1"/>
    </w:pPr>
    <w:rPr>
      <w:b/>
      <w:bCs/>
      <w:color w:val="FFFFFF"/>
      <w:lang w:val="es-MX" w:eastAsia="es-MX"/>
    </w:rPr>
  </w:style>
  <w:style w:type="paragraph" w:customStyle="1" w:styleId="xl163">
    <w:name w:val="xl163"/>
    <w:basedOn w:val="Normal"/>
    <w:rsid w:val="00AB0C80"/>
    <w:pPr>
      <w:pBdr>
        <w:top w:val="single" w:sz="8" w:space="0" w:color="auto"/>
        <w:left w:val="single" w:sz="8" w:space="0" w:color="auto"/>
        <w:bottom w:val="single" w:sz="8" w:space="0" w:color="auto"/>
      </w:pBdr>
      <w:spacing w:before="100" w:beforeAutospacing="1" w:after="100" w:afterAutospacing="1"/>
    </w:pPr>
    <w:rPr>
      <w:b/>
      <w:bCs/>
      <w:lang w:val="es-MX" w:eastAsia="es-MX"/>
    </w:rPr>
  </w:style>
  <w:style w:type="paragraph" w:customStyle="1" w:styleId="xl164">
    <w:name w:val="xl164"/>
    <w:basedOn w:val="Normal"/>
    <w:rsid w:val="00AB0C80"/>
    <w:pPr>
      <w:pBdr>
        <w:top w:val="single" w:sz="8" w:space="0" w:color="auto"/>
        <w:bottom w:val="single" w:sz="8" w:space="0" w:color="auto"/>
      </w:pBdr>
      <w:spacing w:before="100" w:beforeAutospacing="1" w:after="100" w:afterAutospacing="1"/>
    </w:pPr>
    <w:rPr>
      <w:b/>
      <w:bCs/>
      <w:lang w:val="es-MX" w:eastAsia="es-MX"/>
    </w:rPr>
  </w:style>
  <w:style w:type="paragraph" w:customStyle="1" w:styleId="xl165">
    <w:name w:val="xl165"/>
    <w:basedOn w:val="Normal"/>
    <w:rsid w:val="00AB0C80"/>
    <w:pPr>
      <w:pBdr>
        <w:top w:val="single" w:sz="8" w:space="0" w:color="auto"/>
        <w:bottom w:val="single" w:sz="8" w:space="0" w:color="auto"/>
        <w:right w:val="single" w:sz="8" w:space="0" w:color="auto"/>
      </w:pBdr>
      <w:spacing w:before="100" w:beforeAutospacing="1" w:after="100" w:afterAutospacing="1"/>
    </w:pPr>
    <w:rPr>
      <w:b/>
      <w:bCs/>
      <w:lang w:val="es-MX" w:eastAsia="es-MX"/>
    </w:rPr>
  </w:style>
  <w:style w:type="table" w:customStyle="1" w:styleId="TableNormal">
    <w:name w:val="Table Normal"/>
    <w:uiPriority w:val="2"/>
    <w:semiHidden/>
    <w:unhideWhenUsed/>
    <w:qFormat/>
    <w:rsid w:val="00AB0C8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0C80"/>
    <w:pPr>
      <w:widowControl w:val="0"/>
      <w:autoSpaceDE w:val="0"/>
      <w:autoSpaceDN w:val="0"/>
    </w:pPr>
    <w:rPr>
      <w:rFonts w:ascii="Tahoma" w:eastAsia="Tahoma" w:hAnsi="Tahoma" w:cs="Tahoma"/>
      <w:sz w:val="22"/>
      <w:szCs w:val="22"/>
      <w:lang w:eastAsia="en-US"/>
    </w:rPr>
  </w:style>
  <w:style w:type="character" w:customStyle="1" w:styleId="Ttulo1Car1">
    <w:name w:val="Título 1 Car1"/>
    <w:uiPriority w:val="9"/>
    <w:rsid w:val="00AB0C80"/>
    <w:rPr>
      <w:rFonts w:ascii="Cambria" w:eastAsia="Times New Roman" w:hAnsi="Cambria" w:cs="Times New Roman"/>
      <w:b/>
      <w:bCs/>
      <w:color w:val="365F91"/>
      <w:sz w:val="28"/>
      <w:szCs w:val="28"/>
      <w:lang w:eastAsia="es-MX"/>
    </w:rPr>
  </w:style>
  <w:style w:type="character" w:customStyle="1" w:styleId="Ttulo2Car1">
    <w:name w:val="Título 2 Car1"/>
    <w:uiPriority w:val="9"/>
    <w:semiHidden/>
    <w:rsid w:val="00AB0C80"/>
    <w:rPr>
      <w:rFonts w:ascii="Cambria" w:eastAsia="Times New Roman" w:hAnsi="Cambria" w:cs="Times New Roman"/>
      <w:b/>
      <w:bCs/>
      <w:color w:val="4F81BD"/>
      <w:sz w:val="26"/>
      <w:szCs w:val="26"/>
      <w:lang w:eastAsia="es-MX"/>
    </w:rPr>
  </w:style>
  <w:style w:type="paragraph" w:styleId="Revisin">
    <w:name w:val="Revision"/>
    <w:hidden/>
    <w:uiPriority w:val="99"/>
    <w:semiHidden/>
    <w:rsid w:val="001B04B6"/>
    <w:rPr>
      <w:sz w:val="24"/>
      <w:szCs w:val="22"/>
    </w:rPr>
  </w:style>
  <w:style w:type="paragraph" w:customStyle="1" w:styleId="Texto">
    <w:name w:val="Texto"/>
    <w:basedOn w:val="Normal"/>
    <w:link w:val="TextoCar"/>
    <w:rsid w:val="001B04B6"/>
    <w:pPr>
      <w:spacing w:after="101" w:line="216" w:lineRule="exact"/>
      <w:ind w:firstLine="288"/>
      <w:jc w:val="both"/>
    </w:pPr>
    <w:rPr>
      <w:rFonts w:ascii="Arial" w:hAnsi="Arial" w:cs="Arial"/>
      <w:sz w:val="18"/>
      <w:szCs w:val="20"/>
    </w:rPr>
  </w:style>
  <w:style w:type="character" w:customStyle="1" w:styleId="TextoCar">
    <w:name w:val="Texto Car"/>
    <w:link w:val="Texto"/>
    <w:locked/>
    <w:rsid w:val="001B04B6"/>
    <w:rPr>
      <w:rFonts w:ascii="Arial"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95584197">
      <w:bodyDiv w:val="1"/>
      <w:marLeft w:val="0"/>
      <w:marRight w:val="0"/>
      <w:marTop w:val="0"/>
      <w:marBottom w:val="0"/>
      <w:divBdr>
        <w:top w:val="none" w:sz="0" w:space="0" w:color="auto"/>
        <w:left w:val="none" w:sz="0" w:space="0" w:color="auto"/>
        <w:bottom w:val="none" w:sz="0" w:space="0" w:color="auto"/>
        <w:right w:val="none" w:sz="0" w:space="0" w:color="auto"/>
      </w:divBdr>
    </w:div>
    <w:div w:id="437798153">
      <w:bodyDiv w:val="1"/>
      <w:marLeft w:val="0"/>
      <w:marRight w:val="0"/>
      <w:marTop w:val="0"/>
      <w:marBottom w:val="0"/>
      <w:divBdr>
        <w:top w:val="none" w:sz="0" w:space="0" w:color="auto"/>
        <w:left w:val="none" w:sz="0" w:space="0" w:color="auto"/>
        <w:bottom w:val="none" w:sz="0" w:space="0" w:color="auto"/>
        <w:right w:val="none" w:sz="0" w:space="0" w:color="auto"/>
      </w:divBdr>
    </w:div>
    <w:div w:id="573901406">
      <w:bodyDiv w:val="1"/>
      <w:marLeft w:val="0"/>
      <w:marRight w:val="0"/>
      <w:marTop w:val="0"/>
      <w:marBottom w:val="0"/>
      <w:divBdr>
        <w:top w:val="none" w:sz="0" w:space="0" w:color="auto"/>
        <w:left w:val="none" w:sz="0" w:space="0" w:color="auto"/>
        <w:bottom w:val="none" w:sz="0" w:space="0" w:color="auto"/>
        <w:right w:val="none" w:sz="0" w:space="0" w:color="auto"/>
      </w:divBdr>
    </w:div>
    <w:div w:id="593629852">
      <w:bodyDiv w:val="1"/>
      <w:marLeft w:val="0"/>
      <w:marRight w:val="0"/>
      <w:marTop w:val="0"/>
      <w:marBottom w:val="0"/>
      <w:divBdr>
        <w:top w:val="none" w:sz="0" w:space="0" w:color="auto"/>
        <w:left w:val="none" w:sz="0" w:space="0" w:color="auto"/>
        <w:bottom w:val="none" w:sz="0" w:space="0" w:color="auto"/>
        <w:right w:val="none" w:sz="0" w:space="0" w:color="auto"/>
      </w:divBdr>
    </w:div>
    <w:div w:id="940338439">
      <w:bodyDiv w:val="1"/>
      <w:marLeft w:val="0"/>
      <w:marRight w:val="0"/>
      <w:marTop w:val="0"/>
      <w:marBottom w:val="0"/>
      <w:divBdr>
        <w:top w:val="none" w:sz="0" w:space="0" w:color="auto"/>
        <w:left w:val="none" w:sz="0" w:space="0" w:color="auto"/>
        <w:bottom w:val="none" w:sz="0" w:space="0" w:color="auto"/>
        <w:right w:val="none" w:sz="0" w:space="0" w:color="auto"/>
      </w:divBdr>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476484740">
      <w:bodyDiv w:val="1"/>
      <w:marLeft w:val="0"/>
      <w:marRight w:val="0"/>
      <w:marTop w:val="0"/>
      <w:marBottom w:val="0"/>
      <w:divBdr>
        <w:top w:val="none" w:sz="0" w:space="0" w:color="auto"/>
        <w:left w:val="none" w:sz="0" w:space="0" w:color="auto"/>
        <w:bottom w:val="none" w:sz="0" w:space="0" w:color="auto"/>
        <w:right w:val="none" w:sz="0" w:space="0" w:color="auto"/>
      </w:divBdr>
    </w:div>
    <w:div w:id="1571384210">
      <w:bodyDiv w:val="1"/>
      <w:marLeft w:val="0"/>
      <w:marRight w:val="0"/>
      <w:marTop w:val="0"/>
      <w:marBottom w:val="0"/>
      <w:divBdr>
        <w:top w:val="none" w:sz="0" w:space="0" w:color="auto"/>
        <w:left w:val="none" w:sz="0" w:space="0" w:color="auto"/>
        <w:bottom w:val="none" w:sz="0" w:space="0" w:color="auto"/>
        <w:right w:val="none" w:sz="0" w:space="0" w:color="auto"/>
      </w:divBdr>
      <w:divsChild>
        <w:div w:id="817767746">
          <w:marLeft w:val="0"/>
          <w:marRight w:val="0"/>
          <w:marTop w:val="0"/>
          <w:marBottom w:val="0"/>
          <w:divBdr>
            <w:top w:val="none" w:sz="0" w:space="0" w:color="auto"/>
            <w:left w:val="none" w:sz="0" w:space="0" w:color="auto"/>
            <w:bottom w:val="none" w:sz="0" w:space="0" w:color="auto"/>
            <w:right w:val="none" w:sz="0" w:space="0" w:color="auto"/>
          </w:divBdr>
          <w:divsChild>
            <w:div w:id="474224810">
              <w:marLeft w:val="0"/>
              <w:marRight w:val="0"/>
              <w:marTop w:val="0"/>
              <w:marBottom w:val="0"/>
              <w:divBdr>
                <w:top w:val="none" w:sz="0" w:space="0" w:color="auto"/>
                <w:left w:val="none" w:sz="0" w:space="0" w:color="auto"/>
                <w:bottom w:val="none" w:sz="0" w:space="0" w:color="auto"/>
                <w:right w:val="none" w:sz="0" w:space="0" w:color="auto"/>
              </w:divBdr>
            </w:div>
          </w:divsChild>
        </w:div>
        <w:div w:id="1904755896">
          <w:marLeft w:val="0"/>
          <w:marRight w:val="0"/>
          <w:marTop w:val="0"/>
          <w:marBottom w:val="0"/>
          <w:divBdr>
            <w:top w:val="none" w:sz="0" w:space="0" w:color="auto"/>
            <w:left w:val="none" w:sz="0" w:space="0" w:color="auto"/>
            <w:bottom w:val="none" w:sz="0" w:space="0" w:color="auto"/>
            <w:right w:val="none" w:sz="0" w:space="0" w:color="auto"/>
          </w:divBdr>
          <w:divsChild>
            <w:div w:id="19476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24BD6-B78F-4528-9CBA-1D841CD9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51</Pages>
  <Words>13087</Words>
  <Characters>78958</Characters>
  <Application>Microsoft Office Word</Application>
  <DocSecurity>0</DocSecurity>
  <Lines>657</Lines>
  <Paragraphs>183</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91862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subject/>
  <dc:creator>ADDA GRANIEL</dc:creator>
  <cp:keywords/>
  <cp:lastModifiedBy>Corei3</cp:lastModifiedBy>
  <cp:revision>22</cp:revision>
  <cp:lastPrinted>2021-12-08T20:49:00Z</cp:lastPrinted>
  <dcterms:created xsi:type="dcterms:W3CDTF">2021-12-20T17:16:00Z</dcterms:created>
  <dcterms:modified xsi:type="dcterms:W3CDTF">2022-07-01T17:30:00Z</dcterms:modified>
</cp:coreProperties>
</file>